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368A9" w14:textId="77777777" w:rsidR="00256CC8" w:rsidRDefault="00256CC8" w:rsidP="00677DB8">
      <w:pPr>
        <w:pStyle w:val="ASDEFCONTitle"/>
      </w:pPr>
      <w:bookmarkStart w:id="0" w:name="_GoBack"/>
      <w:bookmarkEnd w:id="0"/>
      <w:r>
        <w:t>DATA ITEM DESCRIPTION</w:t>
      </w:r>
    </w:p>
    <w:p w14:paraId="3702C894" w14:textId="2D4A4E6E" w:rsidR="00256CC8" w:rsidRDefault="00256CC8" w:rsidP="00677DB8">
      <w:pPr>
        <w:pStyle w:val="SOWHL1-ASDEFCON"/>
      </w:pPr>
      <w:bookmarkStart w:id="1" w:name="_Toc520082267"/>
      <w:r>
        <w:t>DID N</w:t>
      </w:r>
      <w:r w:rsidR="00271A2F">
        <w:t>UMBER</w:t>
      </w:r>
      <w:r>
        <w:t>:</w:t>
      </w:r>
      <w:r>
        <w:tab/>
      </w:r>
      <w:bookmarkEnd w:id="1"/>
      <w:r w:rsidR="008F5B97">
        <w:fldChar w:fldCharType="begin"/>
      </w:r>
      <w:r w:rsidR="008F5B97">
        <w:instrText xml:space="preserve"> DOCPROPERTY  Title  \* MERGEFORMAT </w:instrText>
      </w:r>
      <w:r w:rsidR="008F5B97">
        <w:fldChar w:fldCharType="separate"/>
      </w:r>
      <w:r w:rsidR="00AF0542">
        <w:t>DID-ENG-MGT-GEOPP</w:t>
      </w:r>
      <w:r w:rsidR="008F5B97">
        <w:fldChar w:fldCharType="end"/>
      </w:r>
      <w:r>
        <w:t>-</w:t>
      </w:r>
      <w:r w:rsidR="006C255F">
        <w:fldChar w:fldCharType="begin"/>
      </w:r>
      <w:r w:rsidR="006C255F">
        <w:instrText xml:space="preserve"> DOCPROPERTY Version </w:instrText>
      </w:r>
      <w:r w:rsidR="006C255F">
        <w:fldChar w:fldCharType="separate"/>
      </w:r>
      <w:r w:rsidR="00AF0542">
        <w:t>V5.4</w:t>
      </w:r>
      <w:r w:rsidR="006C255F">
        <w:fldChar w:fldCharType="end"/>
      </w:r>
    </w:p>
    <w:p w14:paraId="00D59D8D" w14:textId="079FDC9A" w:rsidR="00256CC8" w:rsidRDefault="00256CC8" w:rsidP="00925EB7">
      <w:pPr>
        <w:pStyle w:val="SOWHL1-ASDEFCON"/>
      </w:pPr>
      <w:bookmarkStart w:id="2" w:name="_Toc520082268"/>
      <w:r>
        <w:t>TITLE:</w:t>
      </w:r>
      <w:r>
        <w:tab/>
      </w:r>
      <w:bookmarkEnd w:id="2"/>
      <w:r>
        <w:t>GROWTH</w:t>
      </w:r>
      <w:r w:rsidR="00287A7F">
        <w:t>, E</w:t>
      </w:r>
      <w:r w:rsidR="00287A7F" w:rsidRPr="004020CF">
        <w:t>volution</w:t>
      </w:r>
      <w:r w:rsidR="00287A7F">
        <w:t xml:space="preserve"> </w:t>
      </w:r>
      <w:r w:rsidR="00287A7F" w:rsidRPr="004020CF">
        <w:t>and</w:t>
      </w:r>
      <w:r w:rsidR="00287A7F">
        <w:t xml:space="preserve"> </w:t>
      </w:r>
      <w:r w:rsidR="00287A7F" w:rsidRPr="004020CF">
        <w:t>Obsolescence</w:t>
      </w:r>
      <w:r w:rsidR="00287A7F">
        <w:t xml:space="preserve"> Program</w:t>
      </w:r>
      <w:r>
        <w:t xml:space="preserve"> PLAN</w:t>
      </w:r>
    </w:p>
    <w:p w14:paraId="1E09DE26" w14:textId="77777777" w:rsidR="00256CC8" w:rsidRDefault="00256CC8" w:rsidP="00925EB7">
      <w:pPr>
        <w:pStyle w:val="SOWHL1-ASDEFCON"/>
      </w:pPr>
      <w:bookmarkStart w:id="3" w:name="_Toc520082269"/>
      <w:bookmarkStart w:id="4" w:name="_Ref123800486"/>
      <w:r>
        <w:t>DESCRIPTION AND INTENDED USE</w:t>
      </w:r>
      <w:bookmarkEnd w:id="3"/>
      <w:bookmarkEnd w:id="4"/>
    </w:p>
    <w:p w14:paraId="7B9C2CEC" w14:textId="3DD084C4" w:rsidR="00256CC8" w:rsidRDefault="00256CC8" w:rsidP="00677DB8">
      <w:pPr>
        <w:pStyle w:val="SOWTL2-ASDEFCON"/>
      </w:pPr>
      <w:r>
        <w:t>The Growth</w:t>
      </w:r>
      <w:r w:rsidR="00287A7F">
        <w:t>, E</w:t>
      </w:r>
      <w:r w:rsidR="00287A7F" w:rsidRPr="004020CF">
        <w:t>volution</w:t>
      </w:r>
      <w:r w:rsidR="00287A7F">
        <w:t xml:space="preserve"> </w:t>
      </w:r>
      <w:r w:rsidR="00287A7F" w:rsidRPr="004020CF">
        <w:t>and</w:t>
      </w:r>
      <w:r w:rsidR="00287A7F">
        <w:t xml:space="preserve"> </w:t>
      </w:r>
      <w:r w:rsidR="00287A7F" w:rsidRPr="004020CF">
        <w:t>Obsolescence</w:t>
      </w:r>
      <w:r w:rsidR="00287A7F">
        <w:t xml:space="preserve"> Program</w:t>
      </w:r>
      <w:r>
        <w:t xml:space="preserve"> Plan (G</w:t>
      </w:r>
      <w:r w:rsidR="00287A7F">
        <w:t>EOP</w:t>
      </w:r>
      <w:r>
        <w:t>P) documents the Contractor’s plans and expectations for the management of technology changes for the system d</w:t>
      </w:r>
      <w:r w:rsidR="00A673DC">
        <w:t>uring the acquisition phase (i</w:t>
      </w:r>
      <w:r w:rsidR="00F77B7E">
        <w:t>e</w:t>
      </w:r>
      <w:r w:rsidR="00A673DC">
        <w:t>,</w:t>
      </w:r>
      <w:r>
        <w:t xml:space="preserve"> design, development and production) and over its Life-of-Type (LOT).  The primary target of the G</w:t>
      </w:r>
      <w:r w:rsidR="00287A7F">
        <w:t>EOP</w:t>
      </w:r>
      <w:r>
        <w:t xml:space="preserve">P is the Mission </w:t>
      </w:r>
      <w:r w:rsidR="00F77B7E">
        <w:t>System;</w:t>
      </w:r>
      <w:r>
        <w:t xml:space="preserve"> however, it shall also apply to any critical, high value Support System Components.  Where the term </w:t>
      </w:r>
      <w:r w:rsidR="0034061F">
        <w:t>‘</w:t>
      </w:r>
      <w:r>
        <w:t>system</w:t>
      </w:r>
      <w:r w:rsidR="0034061F">
        <w:t>’</w:t>
      </w:r>
      <w:r>
        <w:t xml:space="preserve"> is used in this DID, it encompasses both the Mission System and the critical, high-value Support System Components.</w:t>
      </w:r>
    </w:p>
    <w:p w14:paraId="31744C43" w14:textId="757E7468" w:rsidR="00256CC8" w:rsidRDefault="00256CC8" w:rsidP="00925EB7">
      <w:pPr>
        <w:pStyle w:val="SOWTL2-ASDEFCON"/>
      </w:pPr>
      <w:r>
        <w:t>The Contractor uses the G</w:t>
      </w:r>
      <w:r w:rsidR="00287A7F">
        <w:t>EOP</w:t>
      </w:r>
      <w:r>
        <w:t>P</w:t>
      </w:r>
      <w:r w:rsidR="00736B6F">
        <w:t xml:space="preserve"> to</w:t>
      </w:r>
      <w:r>
        <w:t>:</w:t>
      </w:r>
    </w:p>
    <w:p w14:paraId="559E8593" w14:textId="77777777" w:rsidR="00736B6F" w:rsidRDefault="00736B6F" w:rsidP="00736B6F">
      <w:pPr>
        <w:pStyle w:val="SOWSubL1-ASDEFCON"/>
      </w:pPr>
      <w:r>
        <w:t xml:space="preserve">provide direction to the Contractor’s and each Approved Subcontractor’s teams undertaking the growth, evolution and </w:t>
      </w:r>
      <w:r w:rsidR="00D52747">
        <w:t xml:space="preserve">Obsolescence </w:t>
      </w:r>
      <w:r>
        <w:t>program activities under the Contract;</w:t>
      </w:r>
    </w:p>
    <w:p w14:paraId="3D772D12" w14:textId="6C1F6BFD" w:rsidR="00736B6F" w:rsidRDefault="00736B6F" w:rsidP="00736B6F">
      <w:pPr>
        <w:pStyle w:val="SOWSubL1-ASDEFCON"/>
      </w:pPr>
      <w:r>
        <w:t xml:space="preserve">identify the applicable </w:t>
      </w:r>
      <w:r w:rsidR="00623FA7">
        <w:t>C</w:t>
      </w:r>
      <w:r>
        <w:t xml:space="preserve">hange </w:t>
      </w:r>
      <w:r w:rsidR="00623FA7">
        <w:t>D</w:t>
      </w:r>
      <w:r>
        <w:t xml:space="preserve">rivers </w:t>
      </w:r>
      <w:r w:rsidR="00623FA7">
        <w:t xml:space="preserve">(as that term is defined in clause </w:t>
      </w:r>
      <w:r w:rsidR="00623FA7">
        <w:fldChar w:fldCharType="begin"/>
      </w:r>
      <w:r w:rsidR="00623FA7">
        <w:instrText xml:space="preserve"> REF _Ref123800528 \r \h </w:instrText>
      </w:r>
      <w:r w:rsidR="00623FA7">
        <w:fldChar w:fldCharType="separate"/>
      </w:r>
      <w:r w:rsidR="00AF0542">
        <w:t>6.2.5</w:t>
      </w:r>
      <w:r w:rsidR="00623FA7">
        <w:fldChar w:fldCharType="end"/>
      </w:r>
      <w:r w:rsidR="00623FA7">
        <w:t xml:space="preserve">) </w:t>
      </w:r>
      <w:r>
        <w:t>and describe their implications for the system over its LOT;</w:t>
      </w:r>
    </w:p>
    <w:p w14:paraId="2008EF1F" w14:textId="05C9280C" w:rsidR="00256CC8" w:rsidRDefault="00256CC8" w:rsidP="00677DB8">
      <w:pPr>
        <w:pStyle w:val="SOWSubL1-ASDEFCON"/>
      </w:pPr>
      <w:r>
        <w:t>document the approach, plans</w:t>
      </w:r>
      <w:r w:rsidR="00736B6F">
        <w:t>, processes</w:t>
      </w:r>
      <w:r>
        <w:t xml:space="preserve"> and </w:t>
      </w:r>
      <w:r w:rsidR="00736B6F">
        <w:t>tools</w:t>
      </w:r>
      <w:r>
        <w:t xml:space="preserve"> for managing technology changes over the LOT of the system</w:t>
      </w:r>
      <w:r w:rsidR="00816478">
        <w:t>, including to demonstrate to the Commonwealth that:</w:t>
      </w:r>
    </w:p>
    <w:p w14:paraId="11CA3B1A" w14:textId="5BC58D4E" w:rsidR="00816478" w:rsidRDefault="00816478" w:rsidP="00816478">
      <w:pPr>
        <w:pStyle w:val="SOWSubL2-ASDEFCON"/>
      </w:pPr>
      <w:r w:rsidRPr="00A2002D">
        <w:t xml:space="preserve">the </w:t>
      </w:r>
      <w:r>
        <w:t>s</w:t>
      </w:r>
      <w:r w:rsidRPr="00A2002D">
        <w:t xml:space="preserve">ystem design addresses the </w:t>
      </w:r>
      <w:r w:rsidR="00125B41" w:rsidRPr="00A2002D">
        <w:t>Change Drivers</w:t>
      </w:r>
      <w:r w:rsidRPr="00A2002D">
        <w:t xml:space="preserve"> and enables the </w:t>
      </w:r>
      <w:r>
        <w:t>s</w:t>
      </w:r>
      <w:r w:rsidRPr="00A2002D">
        <w:t>ystem to be updated to incorporate technology upgrades when required over the LOT; and</w:t>
      </w:r>
    </w:p>
    <w:p w14:paraId="164A08D3" w14:textId="11120F08" w:rsidR="00256CC8" w:rsidRDefault="00816478" w:rsidP="00816478">
      <w:pPr>
        <w:pStyle w:val="SOWSubL2-ASDEFCON"/>
      </w:pPr>
      <w:r>
        <w:t xml:space="preserve">the system will not have </w:t>
      </w:r>
      <w:r w:rsidR="00674838">
        <w:t>O</w:t>
      </w:r>
      <w:r w:rsidR="00256CC8">
        <w:t>bsolescence problems at the time of delivery; and</w:t>
      </w:r>
    </w:p>
    <w:p w14:paraId="314138DB" w14:textId="7CD761FF" w:rsidR="00256CC8" w:rsidRDefault="00816478" w:rsidP="00925EB7">
      <w:pPr>
        <w:pStyle w:val="SOWSubL1-ASDEFCON"/>
      </w:pPr>
      <w:r>
        <w:t xml:space="preserve">provide </w:t>
      </w:r>
      <w:r w:rsidR="00256CC8">
        <w:t>a baseline against which progress of these activities are monitored.</w:t>
      </w:r>
    </w:p>
    <w:p w14:paraId="2E2EF7DC" w14:textId="509688F2" w:rsidR="00256CC8" w:rsidRDefault="00256CC8" w:rsidP="00925EB7">
      <w:pPr>
        <w:pStyle w:val="SOWTL2-ASDEFCON"/>
      </w:pPr>
      <w:r>
        <w:t>The Commonwealth uses the G</w:t>
      </w:r>
      <w:r w:rsidR="00287A7F">
        <w:t>EOP</w:t>
      </w:r>
      <w:r>
        <w:t>P to:</w:t>
      </w:r>
    </w:p>
    <w:p w14:paraId="5AE785A4" w14:textId="10D74CC8" w:rsidR="00256CC8" w:rsidRDefault="00256CC8" w:rsidP="008B589C">
      <w:pPr>
        <w:pStyle w:val="SOWSubL1-ASDEFCON"/>
      </w:pPr>
      <w:r>
        <w:t>gain an accurate insight into the approach, plans and procedures being employed by the Contractor in the execution of activities related to the management of technology changes;</w:t>
      </w:r>
    </w:p>
    <w:p w14:paraId="7EFED2CB" w14:textId="1AAF7743" w:rsidR="00816478" w:rsidRDefault="00816478" w:rsidP="008B589C">
      <w:pPr>
        <w:pStyle w:val="SOWSubL1-ASDEFCON"/>
      </w:pPr>
      <w:r>
        <w:t>facilitate Commonwealth input into the likely areas of operational change and the technology areas of interest to the Commonwealth, including priorities;</w:t>
      </w:r>
    </w:p>
    <w:p w14:paraId="10E9BD5F" w14:textId="7BA6A651" w:rsidR="00256CC8" w:rsidRDefault="00816478" w:rsidP="00925EB7">
      <w:pPr>
        <w:pStyle w:val="SOWSubL1-ASDEFCON"/>
      </w:pPr>
      <w:r>
        <w:t xml:space="preserve">gain assurance </w:t>
      </w:r>
      <w:r w:rsidR="00256CC8">
        <w:t xml:space="preserve">that the Contractor's design, development and production programs will not deliver equipment that has </w:t>
      </w:r>
      <w:r w:rsidR="00674838">
        <w:t>O</w:t>
      </w:r>
      <w:r w:rsidR="00256CC8">
        <w:t>bsolescence problems at the time of delivery;</w:t>
      </w:r>
    </w:p>
    <w:p w14:paraId="7212904B" w14:textId="26E4BEFA" w:rsidR="00816478" w:rsidRDefault="00816478" w:rsidP="00925EB7">
      <w:pPr>
        <w:pStyle w:val="SOWSubL1-ASDEFCON"/>
      </w:pPr>
      <w:r>
        <w:t xml:space="preserve">gain assurance </w:t>
      </w:r>
      <w:r w:rsidR="00256CC8">
        <w:t>that the Contractor’s solutions for the Mission System and Support System minimise</w:t>
      </w:r>
      <w:r w:rsidR="0083488C">
        <w:t>s</w:t>
      </w:r>
      <w:r w:rsidR="00256CC8">
        <w:t xml:space="preserve"> Life Cycle Cost</w:t>
      </w:r>
      <w:r w:rsidR="0083488C">
        <w:t>s</w:t>
      </w:r>
      <w:r w:rsidR="00256CC8">
        <w:t xml:space="preserve"> (LCC) when system growth and </w:t>
      </w:r>
      <w:r w:rsidR="00674838">
        <w:t>O</w:t>
      </w:r>
      <w:r w:rsidR="00256CC8">
        <w:t>bsolescence issues are taken into consideration</w:t>
      </w:r>
      <w:r>
        <w:t>; and</w:t>
      </w:r>
    </w:p>
    <w:p w14:paraId="4D368295" w14:textId="397548C0" w:rsidR="00256CC8" w:rsidRDefault="00623FA7" w:rsidP="00925EB7">
      <w:pPr>
        <w:pStyle w:val="SOWSubL1-ASDEFCON"/>
      </w:pPr>
      <w:r>
        <w:t>provide</w:t>
      </w:r>
      <w:r w:rsidR="00816478">
        <w:t xml:space="preserve"> input to the Commonwealth’s own planning</w:t>
      </w:r>
      <w:r w:rsidR="00256CC8">
        <w:t>.</w:t>
      </w:r>
    </w:p>
    <w:p w14:paraId="3F3C795A" w14:textId="77777777" w:rsidR="00256CC8" w:rsidRDefault="00256CC8" w:rsidP="00925EB7">
      <w:pPr>
        <w:pStyle w:val="SOWHL1-ASDEFCON"/>
      </w:pPr>
      <w:bookmarkStart w:id="5" w:name="_Toc520082270"/>
      <w:r>
        <w:t>INTER-RELATIONSHIPS</w:t>
      </w:r>
      <w:bookmarkEnd w:id="5"/>
    </w:p>
    <w:p w14:paraId="0E0848C4" w14:textId="54BBB6A9" w:rsidR="00256CC8" w:rsidRDefault="00256CC8" w:rsidP="00925EB7">
      <w:pPr>
        <w:pStyle w:val="SOWTL2-ASDEFCON"/>
      </w:pPr>
      <w:r>
        <w:t>The G</w:t>
      </w:r>
      <w:r w:rsidR="00287A7F">
        <w:t>EOP</w:t>
      </w:r>
      <w:r>
        <w:t>P is subordinate to the following data items, where these data items are required under the Contract:</w:t>
      </w:r>
    </w:p>
    <w:p w14:paraId="6EDC3D39" w14:textId="77777777" w:rsidR="00256CC8" w:rsidRDefault="00256CC8" w:rsidP="008B589C">
      <w:pPr>
        <w:pStyle w:val="SOWSubL1-ASDEFCON"/>
      </w:pPr>
      <w:r>
        <w:t>Project Management Plan (PMP);</w:t>
      </w:r>
    </w:p>
    <w:p w14:paraId="1225B27D" w14:textId="77777777" w:rsidR="00256CC8" w:rsidRDefault="00256CC8" w:rsidP="00925EB7">
      <w:pPr>
        <w:pStyle w:val="SOWSubL1-ASDEFCON"/>
      </w:pPr>
      <w:r>
        <w:t>Systems Engineering Management Plan (SEMP);</w:t>
      </w:r>
      <w:r w:rsidR="00816478">
        <w:t xml:space="preserve"> and</w:t>
      </w:r>
    </w:p>
    <w:p w14:paraId="4B3D25C6" w14:textId="307F54F0" w:rsidR="00271A2F" w:rsidRDefault="00256CC8" w:rsidP="00925EB7">
      <w:pPr>
        <w:pStyle w:val="SOWSubL1-ASDEFCON"/>
      </w:pPr>
      <w:r>
        <w:t>Integrated Support Plan (ISP)</w:t>
      </w:r>
      <w:r w:rsidR="00816478">
        <w:t>.</w:t>
      </w:r>
    </w:p>
    <w:p w14:paraId="1BD8D34D" w14:textId="6DC37943" w:rsidR="00256CC8" w:rsidRDefault="00256CC8" w:rsidP="00925EB7">
      <w:pPr>
        <w:pStyle w:val="SOWTL2-ASDEFCON"/>
      </w:pPr>
      <w:r>
        <w:t>The G</w:t>
      </w:r>
      <w:r w:rsidR="00287A7F">
        <w:t>EOP</w:t>
      </w:r>
      <w:r>
        <w:t>P inter-relates with the following data items, where these data items are required under the Contract:</w:t>
      </w:r>
    </w:p>
    <w:p w14:paraId="682EF2E8" w14:textId="77777777" w:rsidR="00816478" w:rsidRDefault="00816478" w:rsidP="008B589C">
      <w:pPr>
        <w:pStyle w:val="SOWSubL1-ASDEFCON"/>
      </w:pPr>
      <w:r>
        <w:lastRenderedPageBreak/>
        <w:t>the governing plans for each of the specialty engineering areas;</w:t>
      </w:r>
    </w:p>
    <w:p w14:paraId="6C29A87D" w14:textId="77777777" w:rsidR="00256CC8" w:rsidRDefault="00256CC8" w:rsidP="008B589C">
      <w:pPr>
        <w:pStyle w:val="SOWSubL1-ASDEFCON"/>
      </w:pPr>
      <w:r>
        <w:t>Life Cycl</w:t>
      </w:r>
      <w:r w:rsidR="006C53E9">
        <w:t>e Cost Management Plan (LCCMP);</w:t>
      </w:r>
    </w:p>
    <w:p w14:paraId="1531A711" w14:textId="1594287D" w:rsidR="00A673DC" w:rsidRDefault="00256CC8" w:rsidP="00925EB7">
      <w:pPr>
        <w:pStyle w:val="SOWSubL1-ASDEFCON"/>
      </w:pPr>
      <w:r>
        <w:t>Life Cycle Cost Report and Model (LCCRM)</w:t>
      </w:r>
      <w:r w:rsidR="00A673DC">
        <w:t>;</w:t>
      </w:r>
    </w:p>
    <w:p w14:paraId="2CE30122" w14:textId="77777777" w:rsidR="00816478" w:rsidRDefault="00A673DC" w:rsidP="00925EB7">
      <w:pPr>
        <w:pStyle w:val="SOWSubL1-ASDEFCON"/>
      </w:pPr>
      <w:r>
        <w:t>System Review Plan (SRP)</w:t>
      </w:r>
      <w:r w:rsidR="00816478">
        <w:t>;</w:t>
      </w:r>
    </w:p>
    <w:p w14:paraId="1BAF338B" w14:textId="77777777" w:rsidR="00A32B8A" w:rsidRDefault="00A32B8A" w:rsidP="00925EB7">
      <w:pPr>
        <w:pStyle w:val="SOWSubL1-ASDEFCON"/>
      </w:pPr>
      <w:r>
        <w:t>System Architecture Description (SAD); and</w:t>
      </w:r>
    </w:p>
    <w:p w14:paraId="2B592C32" w14:textId="77777777" w:rsidR="00256CC8" w:rsidRDefault="00A32B8A" w:rsidP="00925EB7">
      <w:pPr>
        <w:pStyle w:val="SOWSubL1-ASDEFCON"/>
      </w:pPr>
      <w:r>
        <w:t>Contract Master Schedule (CMS)</w:t>
      </w:r>
      <w:r w:rsidR="00256CC8">
        <w:t>.</w:t>
      </w:r>
    </w:p>
    <w:p w14:paraId="170145B2" w14:textId="77777777" w:rsidR="00256CC8" w:rsidRDefault="00256CC8" w:rsidP="00925EB7">
      <w:pPr>
        <w:pStyle w:val="SOWHL1-ASDEFCON"/>
      </w:pPr>
      <w:bookmarkStart w:id="6" w:name="_Toc520082271"/>
      <w:r>
        <w:t>APPLICABLE DOCUMENTS</w:t>
      </w:r>
      <w:bookmarkEnd w:id="6"/>
    </w:p>
    <w:p w14:paraId="26DB74BD" w14:textId="77777777" w:rsidR="00256CC8" w:rsidRDefault="00256CC8" w:rsidP="00925EB7">
      <w:pPr>
        <w:pStyle w:val="SOWTL2-ASDEFCON"/>
      </w:pPr>
      <w:r>
        <w:t>The following documents form a part of this DID to the extent specified herein</w:t>
      </w:r>
      <w:r w:rsidR="00C23B27">
        <w:t>:</w:t>
      </w:r>
    </w:p>
    <w:tbl>
      <w:tblPr>
        <w:tblW w:w="0" w:type="auto"/>
        <w:tblInd w:w="1276" w:type="dxa"/>
        <w:tblLayout w:type="fixed"/>
        <w:tblLook w:val="0000" w:firstRow="0" w:lastRow="0" w:firstColumn="0" w:lastColumn="0" w:noHBand="0" w:noVBand="0"/>
      </w:tblPr>
      <w:tblGrid>
        <w:gridCol w:w="2835"/>
        <w:gridCol w:w="5209"/>
      </w:tblGrid>
      <w:tr w:rsidR="00256CC8" w14:paraId="17D59B0A" w14:textId="77777777">
        <w:tc>
          <w:tcPr>
            <w:tcW w:w="2835" w:type="dxa"/>
          </w:tcPr>
          <w:p w14:paraId="4C1A3D8B" w14:textId="77777777" w:rsidR="00256CC8" w:rsidRDefault="00256CC8" w:rsidP="00677DB8">
            <w:pPr>
              <w:pStyle w:val="Table10ptText-ASDEFCON"/>
            </w:pPr>
            <w:r>
              <w:t>Nil.</w:t>
            </w:r>
          </w:p>
        </w:tc>
        <w:tc>
          <w:tcPr>
            <w:tcW w:w="5209" w:type="dxa"/>
          </w:tcPr>
          <w:p w14:paraId="25B7D0E5" w14:textId="77777777" w:rsidR="00256CC8" w:rsidRDefault="00256CC8" w:rsidP="00925EB7">
            <w:pPr>
              <w:pStyle w:val="Table10ptText-ASDEFCON"/>
            </w:pPr>
          </w:p>
        </w:tc>
      </w:tr>
    </w:tbl>
    <w:p w14:paraId="78A98ACC" w14:textId="77777777" w:rsidR="00256CC8" w:rsidRDefault="00256CC8" w:rsidP="00925EB7">
      <w:pPr>
        <w:pStyle w:val="SOWHL1-ASDEFCON"/>
      </w:pPr>
      <w:bookmarkStart w:id="7" w:name="_Toc520082272"/>
      <w:r>
        <w:t>PREPARATION INSTRUCTIONS</w:t>
      </w:r>
      <w:bookmarkEnd w:id="7"/>
    </w:p>
    <w:p w14:paraId="1B3EAED8" w14:textId="77777777" w:rsidR="00256CC8" w:rsidRDefault="00256CC8" w:rsidP="00677DB8">
      <w:pPr>
        <w:pStyle w:val="SOWHL2-ASDEFCON"/>
      </w:pPr>
      <w:bookmarkStart w:id="8" w:name="_Toc520082273"/>
      <w:r>
        <w:t>Generic Format and Content</w:t>
      </w:r>
      <w:bookmarkEnd w:id="8"/>
    </w:p>
    <w:p w14:paraId="4EC65C53" w14:textId="77777777" w:rsidR="00256CC8" w:rsidRDefault="00256CC8" w:rsidP="00677DB8">
      <w:pPr>
        <w:pStyle w:val="SOWTL3-ASDEFCON"/>
      </w:pPr>
      <w:r>
        <w:t xml:space="preserve">The data item shall comply with the general format, content and preparation instructions contained in the CDRL clause entitled </w:t>
      </w:r>
      <w:r w:rsidR="0034061F">
        <w:t>‘</w:t>
      </w:r>
      <w:r>
        <w:t>General Requirements for Data Items</w:t>
      </w:r>
      <w:r w:rsidR="0034061F">
        <w:t>’</w:t>
      </w:r>
      <w:r>
        <w:t>.</w:t>
      </w:r>
    </w:p>
    <w:p w14:paraId="2AD0BD69" w14:textId="77777777" w:rsidR="00BC33F2" w:rsidRDefault="00BC33F2" w:rsidP="00925EB7">
      <w:pPr>
        <w:pStyle w:val="SOWTL3-ASDEFCON"/>
      </w:pPr>
      <w:r w:rsidRPr="00BC33F2">
        <w:t>The data item shall include a traceability matrix that defines how each specific content requirement, as contained in this DID, is addressed by sections within the data item.</w:t>
      </w:r>
    </w:p>
    <w:p w14:paraId="24FF3625" w14:textId="77777777" w:rsidR="00256CC8" w:rsidRDefault="00256CC8" w:rsidP="00677DB8">
      <w:pPr>
        <w:pStyle w:val="SOWHL2-ASDEFCON"/>
      </w:pPr>
      <w:bookmarkStart w:id="9" w:name="_Toc520082274"/>
      <w:r>
        <w:t>Specific Content</w:t>
      </w:r>
      <w:bookmarkEnd w:id="9"/>
    </w:p>
    <w:p w14:paraId="6DCCEA7A" w14:textId="77777777" w:rsidR="00736B6F" w:rsidRDefault="00736B6F" w:rsidP="00736B6F">
      <w:pPr>
        <w:pStyle w:val="SOWHL3-ASDEFCON"/>
      </w:pPr>
      <w:r>
        <w:t>General</w:t>
      </w:r>
    </w:p>
    <w:p w14:paraId="694C3DA2" w14:textId="6373184B" w:rsidR="00736B6F" w:rsidRDefault="00736B6F" w:rsidP="00736B6F">
      <w:pPr>
        <w:pStyle w:val="SOWTL4-ASDEFCON"/>
      </w:pPr>
      <w:r>
        <w:t xml:space="preserve">The </w:t>
      </w:r>
      <w:r w:rsidR="00287A7F">
        <w:t>GEOPP</w:t>
      </w:r>
      <w:r>
        <w:t xml:space="preserve"> shall describe the objectives, scope, constraints, and assumptions associated with the growth, evolution and </w:t>
      </w:r>
      <w:r w:rsidR="00A32B8A">
        <w:t xml:space="preserve">Obsolescence </w:t>
      </w:r>
      <w:r>
        <w:t>program.</w:t>
      </w:r>
    </w:p>
    <w:p w14:paraId="2CE55EAC" w14:textId="1DEDD0F2" w:rsidR="00736B6F" w:rsidRDefault="00736B6F" w:rsidP="00736B6F">
      <w:pPr>
        <w:pStyle w:val="SOWTL4-ASDEFCON"/>
      </w:pPr>
      <w:r>
        <w:t xml:space="preserve">The </w:t>
      </w:r>
      <w:r w:rsidR="00287A7F">
        <w:t>GEOPP</w:t>
      </w:r>
      <w:r>
        <w:t xml:space="preserve"> shall describe the system(s) addressed through the </w:t>
      </w:r>
      <w:r w:rsidR="00287A7F">
        <w:t>GEOPP</w:t>
      </w:r>
      <w:r>
        <w:t xml:space="preserve">, including the design maturity and design characteristics relevant to the conduct of the growth, evolution and </w:t>
      </w:r>
      <w:r w:rsidR="00D52747">
        <w:t xml:space="preserve">Obsolescence </w:t>
      </w:r>
      <w:r>
        <w:t>program.</w:t>
      </w:r>
    </w:p>
    <w:p w14:paraId="6A55E73B" w14:textId="4D480EE1" w:rsidR="00256CC8" w:rsidRDefault="00256CC8" w:rsidP="00677DB8">
      <w:pPr>
        <w:pStyle w:val="SOWHL3-ASDEFCON"/>
      </w:pPr>
      <w:r>
        <w:t>Program Organisation</w:t>
      </w:r>
    </w:p>
    <w:p w14:paraId="7C94ACE7" w14:textId="606FA0E8" w:rsidR="00256CC8" w:rsidRDefault="00256CC8" w:rsidP="00677DB8">
      <w:pPr>
        <w:pStyle w:val="SOWTL4-ASDEFCON"/>
      </w:pPr>
      <w:r>
        <w:t xml:space="preserve">The </w:t>
      </w:r>
      <w:r w:rsidR="00287A7F">
        <w:t>GEOPP</w:t>
      </w:r>
      <w:r>
        <w:t xml:space="preserve"> shall identify and describe in detail the responsibilities of the organisation(s) and individuals tasked with managing the growth</w:t>
      </w:r>
      <w:r w:rsidR="00E34089">
        <w:t xml:space="preserve">, evolution and </w:t>
      </w:r>
      <w:r w:rsidR="00A32B8A">
        <w:t xml:space="preserve">Obsolescence </w:t>
      </w:r>
      <w:r>
        <w:t>program, including those of Subcontractors.</w:t>
      </w:r>
    </w:p>
    <w:p w14:paraId="6EBA1E63" w14:textId="6A928C6A" w:rsidR="00A32B8A" w:rsidRDefault="00A32B8A" w:rsidP="00677DB8">
      <w:pPr>
        <w:pStyle w:val="SOWTL4-ASDEFCON"/>
      </w:pPr>
      <w:r w:rsidRPr="00A836EF">
        <w:t xml:space="preserve">The </w:t>
      </w:r>
      <w:r w:rsidR="00287A7F">
        <w:t>GEOPP</w:t>
      </w:r>
      <w:r w:rsidRPr="00A836EF">
        <w:t xml:space="preserve"> shall identify the level of staffing to be allocated to the </w:t>
      </w:r>
      <w:r>
        <w:t>growth, evolution and Obsolescence program</w:t>
      </w:r>
      <w:r w:rsidRPr="00A836EF">
        <w:t xml:space="preserve">, including </w:t>
      </w:r>
      <w:r>
        <w:t xml:space="preserve">identifying any </w:t>
      </w:r>
      <w:r w:rsidRPr="00A836EF">
        <w:t xml:space="preserve">specialist resources </w:t>
      </w:r>
      <w:r>
        <w:t>required</w:t>
      </w:r>
      <w:r w:rsidRPr="00A836EF">
        <w:t>.</w:t>
      </w:r>
    </w:p>
    <w:p w14:paraId="510A860E" w14:textId="77777777" w:rsidR="00A32B8A" w:rsidRDefault="00A32B8A" w:rsidP="00A32B8A">
      <w:pPr>
        <w:pStyle w:val="SOWHL3-ASDEFCON"/>
      </w:pPr>
      <w:bookmarkStart w:id="10" w:name="_Ref123798355"/>
      <w:r>
        <w:t>Program Strategy</w:t>
      </w:r>
    </w:p>
    <w:p w14:paraId="1BC5B1B6" w14:textId="621F463D" w:rsidR="00A32B8A" w:rsidRDefault="00A32B8A" w:rsidP="00A32B8A">
      <w:pPr>
        <w:pStyle w:val="SOWTL4-ASDEFCON"/>
        <w:keepNext/>
      </w:pPr>
      <w:r>
        <w:t xml:space="preserve">The </w:t>
      </w:r>
      <w:r w:rsidR="00287A7F">
        <w:t>GEOPP</w:t>
      </w:r>
      <w:r>
        <w:t xml:space="preserve"> shall describe the Contractor’s strategy for undertaking the growth, evolution and Obsolescence program, including:</w:t>
      </w:r>
    </w:p>
    <w:p w14:paraId="0A3F58CE" w14:textId="733BDA37" w:rsidR="00A32B8A" w:rsidRDefault="00A32B8A" w:rsidP="00A32B8A">
      <w:pPr>
        <w:pStyle w:val="SOWSubL1-ASDEFCON"/>
      </w:pPr>
      <w:r>
        <w:t>explaining how the Contractor will ensure that the growth, evolution and Obsolescence program meets the objectives and outcomes identified in clause </w:t>
      </w:r>
      <w:r w:rsidR="00DB16B3">
        <w:fldChar w:fldCharType="begin"/>
      </w:r>
      <w:r w:rsidR="00DB16B3">
        <w:instrText xml:space="preserve"> REF _Ref123800486 \r \h </w:instrText>
      </w:r>
      <w:r w:rsidR="00DB16B3">
        <w:fldChar w:fldCharType="separate"/>
      </w:r>
      <w:r w:rsidR="00AF0542">
        <w:t>3</w:t>
      </w:r>
      <w:r w:rsidR="00DB16B3">
        <w:fldChar w:fldCharType="end"/>
      </w:r>
      <w:r>
        <w:t xml:space="preserve"> of this DID and the growth, evolution and Obsolescence program provisions of the SOW;</w:t>
      </w:r>
    </w:p>
    <w:p w14:paraId="3B3E8777" w14:textId="77777777" w:rsidR="00A32B8A" w:rsidRDefault="00A32B8A" w:rsidP="00A32B8A">
      <w:pPr>
        <w:pStyle w:val="SOWSubL1-ASDEFCON"/>
      </w:pPr>
      <w:r>
        <w:t>describing how the growth, evolution and Obsolescence program will identify and provide the information required by this DID, including the methodology for:</w:t>
      </w:r>
    </w:p>
    <w:p w14:paraId="68DFB5A6" w14:textId="67FB37E3" w:rsidR="00A32B8A" w:rsidRDefault="00A32B8A" w:rsidP="00A32B8A">
      <w:pPr>
        <w:pStyle w:val="SOWSubL2-ASDEFCON"/>
      </w:pPr>
      <w:r>
        <w:t xml:space="preserve">identifying the initial set of </w:t>
      </w:r>
      <w:r w:rsidR="007A70B5">
        <w:t>Change Drivers</w:t>
      </w:r>
      <w:r w:rsidR="00DB16B3">
        <w:t xml:space="preserve"> (refer clause </w:t>
      </w:r>
      <w:r w:rsidR="00DB16B3">
        <w:fldChar w:fldCharType="begin"/>
      </w:r>
      <w:r w:rsidR="00DB16B3">
        <w:instrText xml:space="preserve"> REF _Ref123800528 \r \h </w:instrText>
      </w:r>
      <w:r w:rsidR="00DB16B3">
        <w:fldChar w:fldCharType="separate"/>
      </w:r>
      <w:r w:rsidR="00AF0542">
        <w:t>6.2.5</w:t>
      </w:r>
      <w:r w:rsidR="00DB16B3">
        <w:fldChar w:fldCharType="end"/>
      </w:r>
      <w:r w:rsidR="00DB16B3">
        <w:t xml:space="preserve">) </w:t>
      </w:r>
      <w:r>
        <w:t xml:space="preserve">and the subsequent </w:t>
      </w:r>
      <w:r w:rsidRPr="00B81BBC">
        <w:t xml:space="preserve">changes to these </w:t>
      </w:r>
      <w:r w:rsidR="007A70B5" w:rsidRPr="00B81BBC">
        <w:t>Change Drivers</w:t>
      </w:r>
      <w:r w:rsidR="00DB16B3" w:rsidRPr="00DA37AD">
        <w:t xml:space="preserve"> </w:t>
      </w:r>
      <w:r w:rsidRPr="00DA37AD">
        <w:t>as circumstances change</w:t>
      </w:r>
      <w:r>
        <w:t>, including in relation to operational and system imperatives;</w:t>
      </w:r>
    </w:p>
    <w:p w14:paraId="69487DD7" w14:textId="77777777" w:rsidR="00A32B8A" w:rsidRDefault="00A32B8A" w:rsidP="00A32B8A">
      <w:pPr>
        <w:pStyle w:val="SOWSubL2-ASDEFCON"/>
      </w:pPr>
      <w:r>
        <w:t>identifying potential technology solutions over the period of the Contract, including assessing the maturity of these technology solutions and determining when they are likely to be sufficiently mature for incorporation into the Mission System;</w:t>
      </w:r>
    </w:p>
    <w:p w14:paraId="1D108776" w14:textId="489E8E45" w:rsidR="00A32B8A" w:rsidRDefault="00A32B8A" w:rsidP="00A32B8A">
      <w:pPr>
        <w:pStyle w:val="SOWSubL2-ASDEFCON"/>
      </w:pPr>
      <w:r>
        <w:t>incorporating inputs from the Commonwealth, and other activities under the Contract (eg, Supportability analyses, reliability growth and LCC analyses) and</w:t>
      </w:r>
      <w:r w:rsidR="00B80D25">
        <w:t>, if applicable,</w:t>
      </w:r>
      <w:r>
        <w:t xml:space="preserve"> under the Contract (Support) (eg, Obsolescence monitoring); and</w:t>
      </w:r>
    </w:p>
    <w:p w14:paraId="1E2971FE" w14:textId="45E8DA04" w:rsidR="00A32B8A" w:rsidRDefault="00A32B8A" w:rsidP="00A32B8A">
      <w:pPr>
        <w:pStyle w:val="SOWSubL2-ASDEFCON"/>
      </w:pPr>
      <w:r>
        <w:t>identifying likely Obsolescence problems over the period of the Contract, including determining the timeframes when these problems should be addressed (eg, in relation to Milestones relating to the design, development and implementation of the Mission System</w:t>
      </w:r>
      <w:r w:rsidR="00146C74">
        <w:t>)</w:t>
      </w:r>
      <w:r>
        <w:t>;</w:t>
      </w:r>
    </w:p>
    <w:p w14:paraId="3706D2A0" w14:textId="7DF7D9C8" w:rsidR="00A32B8A" w:rsidRDefault="00A32B8A" w:rsidP="00A32B8A">
      <w:pPr>
        <w:pStyle w:val="SOWSubL1-ASDEFCON"/>
      </w:pPr>
      <w:r>
        <w:t>describing the Contractor’s plans for incorporating Approved Subcontractors into the growth, evolution and Obsolescence program;</w:t>
      </w:r>
    </w:p>
    <w:p w14:paraId="1BCB0431" w14:textId="791156CF" w:rsidR="00A32B8A" w:rsidRDefault="00A32B8A" w:rsidP="00A32B8A">
      <w:pPr>
        <w:pStyle w:val="SOWSubL1-ASDEFCON"/>
      </w:pPr>
      <w:r>
        <w:t>describing the interrelationships and interactions between the growth, evolution and Obsolescence program, the broader systems engineering program for the Mission System, the speciality engineering programs</w:t>
      </w:r>
      <w:r w:rsidR="00146C74">
        <w:t>,</w:t>
      </w:r>
      <w:r>
        <w:t xml:space="preserve"> and the Integrated Logistics Support (ILS) program;</w:t>
      </w:r>
    </w:p>
    <w:p w14:paraId="566C8AE4" w14:textId="0AA7C785" w:rsidR="00A32B8A" w:rsidRDefault="00A32B8A" w:rsidP="00A32B8A">
      <w:pPr>
        <w:pStyle w:val="SOWSubL1-ASDEFCON"/>
      </w:pPr>
      <w:r>
        <w:t xml:space="preserve">describing how the Contractor will involve the Commonwealth in the </w:t>
      </w:r>
      <w:r w:rsidR="00DB16B3">
        <w:t>growth, evolution and Obsolescence program (eg, in relation to threat changes)</w:t>
      </w:r>
      <w:r>
        <w:t>; and</w:t>
      </w:r>
    </w:p>
    <w:p w14:paraId="1D19246C" w14:textId="77777777" w:rsidR="00A32B8A" w:rsidRDefault="00A32B8A" w:rsidP="00A32B8A">
      <w:pPr>
        <w:pStyle w:val="SOWSubL1-ASDEFCON"/>
      </w:pPr>
      <w:r>
        <w:t>identifying the Contractor’s expectations of the Commonwealth.</w:t>
      </w:r>
    </w:p>
    <w:p w14:paraId="689703AC" w14:textId="4292C904" w:rsidR="00A32B8A" w:rsidRDefault="00A32B8A" w:rsidP="00A32B8A">
      <w:pPr>
        <w:pStyle w:val="SOWTL4-ASDEFCON"/>
      </w:pPr>
      <w:r>
        <w:t xml:space="preserve">The </w:t>
      </w:r>
      <w:r w:rsidR="00287A7F">
        <w:t>GEOPP</w:t>
      </w:r>
      <w:r>
        <w:t xml:space="preserve"> shall include an overall flow diagram of the Contractor’s activities and, where applicable, Subcontractors’ activities in relation to achieving the required growth, evolution and Obsolescence program outcomes.  This flow shall be sequentially arranged to include:</w:t>
      </w:r>
    </w:p>
    <w:p w14:paraId="0474BF6B" w14:textId="7CA8D7CF" w:rsidR="00A32B8A" w:rsidRDefault="00A32B8A" w:rsidP="00A32B8A">
      <w:pPr>
        <w:pStyle w:val="SOWSubL1-ASDEFCON"/>
      </w:pPr>
      <w:r>
        <w:t>all significant growth, evolution and Obsolescence program milestones and</w:t>
      </w:r>
      <w:r w:rsidR="00623FA7">
        <w:t xml:space="preserve"> work activities</w:t>
      </w:r>
      <w:r>
        <w:t xml:space="preserve">, including the flow and staging of the different streams of activity for the program, including </w:t>
      </w:r>
      <w:r w:rsidR="003306EF">
        <w:t xml:space="preserve">Change Driver </w:t>
      </w:r>
      <w:r>
        <w:t>activities (eg, technology developments, Obsolescence monitoring and operational changes) and Mission System design activities;</w:t>
      </w:r>
    </w:p>
    <w:p w14:paraId="0DE02EDC" w14:textId="77777777" w:rsidR="00A32B8A" w:rsidRDefault="00A32B8A" w:rsidP="00A32B8A">
      <w:pPr>
        <w:pStyle w:val="SOWSubL1-ASDEFCON"/>
      </w:pPr>
      <w:r>
        <w:t>the integration of the growth, evolution and Obsolescence program into the broader systems engineering and ILS programs;</w:t>
      </w:r>
    </w:p>
    <w:p w14:paraId="6C72703B" w14:textId="77777777" w:rsidR="00A32B8A" w:rsidRDefault="00A32B8A" w:rsidP="00A32B8A">
      <w:pPr>
        <w:pStyle w:val="SOWSubL1-ASDEFCON"/>
      </w:pPr>
      <w:r>
        <w:t>the entity or group responsible for each growth, evolution and Obsolescence program activity; and</w:t>
      </w:r>
    </w:p>
    <w:p w14:paraId="7D487E1E" w14:textId="77777777" w:rsidR="00A32B8A" w:rsidRDefault="00A32B8A" w:rsidP="00A32B8A">
      <w:pPr>
        <w:pStyle w:val="SOWSubL1-ASDEFCON"/>
      </w:pPr>
      <w:r>
        <w:t>any additional information that clarifies the description of the growth, evolution and Obsolescence program.</w:t>
      </w:r>
    </w:p>
    <w:p w14:paraId="611B3A4F" w14:textId="77777777" w:rsidR="00A32B8A" w:rsidRDefault="00A32B8A" w:rsidP="00A32B8A">
      <w:pPr>
        <w:pStyle w:val="SOWTL4-ASDEFCON"/>
      </w:pPr>
      <w:r>
        <w:t>The flow diagram shall reflect predicted dates for significant milestones, as set out in the Approved CMS.</w:t>
      </w:r>
    </w:p>
    <w:p w14:paraId="6C98DAD0" w14:textId="77777777" w:rsidR="00A32B8A" w:rsidRDefault="00A32B8A" w:rsidP="00A32B8A">
      <w:pPr>
        <w:pStyle w:val="SOWHL3-ASDEFCON"/>
      </w:pPr>
      <w:r>
        <w:t>Systems, Processes and Tools</w:t>
      </w:r>
    </w:p>
    <w:p w14:paraId="3F0F4FE7" w14:textId="039AC216" w:rsidR="00A32B8A" w:rsidRDefault="00A32B8A" w:rsidP="00A32B8A">
      <w:pPr>
        <w:pStyle w:val="SOWTL4-ASDEFCON"/>
      </w:pPr>
      <w:r>
        <w:t xml:space="preserve">The </w:t>
      </w:r>
      <w:r w:rsidR="00287A7F">
        <w:t>GEOPP</w:t>
      </w:r>
      <w:r>
        <w:t xml:space="preserve"> shall describe the systems, processes and tools to be employed by the Contractor and Approved Subcontractors to satisfy the </w:t>
      </w:r>
      <w:r w:rsidR="00DB16B3">
        <w:t xml:space="preserve">growth, evolution and Obsolescence </w:t>
      </w:r>
      <w:r>
        <w:t>requirements of the Contract, including:</w:t>
      </w:r>
    </w:p>
    <w:p w14:paraId="497931F3" w14:textId="77777777" w:rsidR="00A32B8A" w:rsidRDefault="00A32B8A" w:rsidP="00A32B8A">
      <w:pPr>
        <w:pStyle w:val="SOWSubL1-ASDEFCON"/>
      </w:pPr>
      <w:r>
        <w:t>describing the key activities to be performed, when and by whom, and describing the systems, processes and tools that facilitate and/or enable these activities to be performed;</w:t>
      </w:r>
    </w:p>
    <w:p w14:paraId="497E19BC" w14:textId="7058C025" w:rsidR="00A32B8A" w:rsidRDefault="00A32B8A" w:rsidP="00A32B8A">
      <w:pPr>
        <w:pStyle w:val="SOWSubL1-ASDEFCON"/>
      </w:pPr>
      <w:r>
        <w:t>describing the linkages to the configuration change processes under the Contract and</w:t>
      </w:r>
      <w:r w:rsidR="00623FA7">
        <w:t>, if applicable,</w:t>
      </w:r>
      <w:r>
        <w:t xml:space="preserve"> the Contract (Support), including for Software changes, describing the criteria to be used to prioritise the changes and package</w:t>
      </w:r>
      <w:r w:rsidR="00F633E6">
        <w:t xml:space="preserve"> those changes</w:t>
      </w:r>
      <w:r>
        <w:t xml:space="preserve"> into Software </w:t>
      </w:r>
      <w:r w:rsidR="00DB16B3">
        <w:t>Releases</w:t>
      </w:r>
      <w:r>
        <w:t>; and</w:t>
      </w:r>
    </w:p>
    <w:p w14:paraId="05AE0EB4" w14:textId="2586CD0C" w:rsidR="00A32B8A" w:rsidRDefault="00A32B8A" w:rsidP="00A32B8A">
      <w:pPr>
        <w:pStyle w:val="SOWSubL1-ASDEFCON"/>
      </w:pPr>
      <w:r>
        <w:t xml:space="preserve">describing the systems, processes and tools to capture data, monitor and report on the achievement of the </w:t>
      </w:r>
      <w:r w:rsidR="00DB16B3">
        <w:t>growth, evolution and Obsolescence program</w:t>
      </w:r>
      <w:r>
        <w:t>, including in relation to:</w:t>
      </w:r>
    </w:p>
    <w:p w14:paraId="0176B4DC" w14:textId="422D8A2F" w:rsidR="00A32B8A" w:rsidRDefault="00A32B8A" w:rsidP="00A32B8A">
      <w:pPr>
        <w:pStyle w:val="SOWSubL2-ASDEFCON"/>
      </w:pPr>
      <w:r>
        <w:t xml:space="preserve">the information required to be provided through the </w:t>
      </w:r>
      <w:r w:rsidRPr="003B23EC">
        <w:t>relevant Contract progress reporting</w:t>
      </w:r>
      <w:r>
        <w:t xml:space="preserve"> mechanisms (eg, Contract Status Report (CSR) and CMS); and</w:t>
      </w:r>
    </w:p>
    <w:p w14:paraId="42050881" w14:textId="6F14F1A1" w:rsidR="00A32B8A" w:rsidRDefault="00A32B8A" w:rsidP="00A32B8A">
      <w:pPr>
        <w:pStyle w:val="SOWSubL2-ASDEFCON"/>
      </w:pPr>
      <w:r>
        <w:t xml:space="preserve">the information needs and associated measures established under the measurement program </w:t>
      </w:r>
      <w:r w:rsidR="00A20DEC">
        <w:t xml:space="preserve">(if such a program is required by the SOW) </w:t>
      </w:r>
      <w:r>
        <w:t xml:space="preserve">to monitor the </w:t>
      </w:r>
      <w:r w:rsidR="000A28C0">
        <w:t xml:space="preserve">growth, evolution and Obsolescence program </w:t>
      </w:r>
      <w:r>
        <w:t>and the achievement of the required outcomes.</w:t>
      </w:r>
    </w:p>
    <w:p w14:paraId="562419A0" w14:textId="11869112" w:rsidR="00256CC8" w:rsidRDefault="009102EC" w:rsidP="00677DB8">
      <w:pPr>
        <w:pStyle w:val="SOWHL3-ASDEFCON"/>
      </w:pPr>
      <w:bookmarkStart w:id="11" w:name="_Ref123800528"/>
      <w:r>
        <w:t>Change Drivers</w:t>
      </w:r>
      <w:bookmarkEnd w:id="10"/>
      <w:bookmarkEnd w:id="11"/>
    </w:p>
    <w:p w14:paraId="41F7EF7C" w14:textId="0677CC4C" w:rsidR="009102EC" w:rsidRDefault="009102EC" w:rsidP="009102EC">
      <w:pPr>
        <w:pStyle w:val="SOWTL4-ASDEFCON"/>
      </w:pPr>
      <w:r>
        <w:t xml:space="preserve">The </w:t>
      </w:r>
      <w:r w:rsidR="00287A7F">
        <w:t>GEOPP</w:t>
      </w:r>
      <w:r>
        <w:t xml:space="preserve"> shall identify the change drivers relevant to the system (</w:t>
      </w:r>
      <w:r>
        <w:rPr>
          <w:b/>
        </w:rPr>
        <w:t>‘Change Drivers’</w:t>
      </w:r>
      <w:r>
        <w:t>), including those identified:</w:t>
      </w:r>
    </w:p>
    <w:p w14:paraId="5FAB3226" w14:textId="77777777" w:rsidR="009102EC" w:rsidRDefault="009102EC" w:rsidP="009102EC">
      <w:pPr>
        <w:pStyle w:val="SOWSubL1-ASDEFCON"/>
      </w:pPr>
      <w:r>
        <w:t>in the Operational Concept Document (OCD) and the Function and Performance Specification (FPS);</w:t>
      </w:r>
    </w:p>
    <w:p w14:paraId="45AFCE4C" w14:textId="77777777" w:rsidR="009102EC" w:rsidRDefault="009102EC" w:rsidP="009102EC">
      <w:pPr>
        <w:pStyle w:val="SOWSubL1-ASDEFCON"/>
      </w:pPr>
      <w:r>
        <w:t xml:space="preserve">by the Commonwealth in addition to those identified in the OCD and </w:t>
      </w:r>
      <w:r w:rsidR="00736B6F">
        <w:t>FPS</w:t>
      </w:r>
      <w:r>
        <w:t xml:space="preserve"> (eg, that may have arisen due to a changing threat environment or evolving operational needs and/or from its knowledge of the market); and</w:t>
      </w:r>
    </w:p>
    <w:p w14:paraId="048A0212" w14:textId="77777777" w:rsidR="009102EC" w:rsidRDefault="009102EC" w:rsidP="009102EC">
      <w:pPr>
        <w:pStyle w:val="SOWSubL1-ASDEFCON"/>
      </w:pPr>
      <w:r>
        <w:t xml:space="preserve">by the Contractor (eg, from its knowledge of the market, trade studies conducted as part of the design of the </w:t>
      </w:r>
      <w:r w:rsidR="00736B6F">
        <w:t>system</w:t>
      </w:r>
      <w:r>
        <w:t>, and/or Obsolescence studies conducted as part of the design and implementation of the Support System).</w:t>
      </w:r>
    </w:p>
    <w:p w14:paraId="3D7E1274" w14:textId="04C6C375" w:rsidR="00256CC8" w:rsidRDefault="00256CC8" w:rsidP="00925EB7">
      <w:pPr>
        <w:pStyle w:val="SOWTL4-ASDEFCON"/>
      </w:pPr>
      <w:r>
        <w:t xml:space="preserve">The </w:t>
      </w:r>
      <w:r w:rsidR="009102EC">
        <w:t xml:space="preserve">Change Drivers identified in the </w:t>
      </w:r>
      <w:r w:rsidR="00287A7F">
        <w:t>GEOPP</w:t>
      </w:r>
      <w:r>
        <w:t xml:space="preserve"> shall </w:t>
      </w:r>
      <w:r w:rsidR="009102EC">
        <w:t>include those identified from</w:t>
      </w:r>
      <w:r>
        <w:t xml:space="preserve"> an assessment over the </w:t>
      </w:r>
      <w:r w:rsidR="00895F85">
        <w:t xml:space="preserve">forecast </w:t>
      </w:r>
      <w:r>
        <w:t xml:space="preserve">LOT of the system </w:t>
      </w:r>
      <w:r w:rsidR="009102EC">
        <w:t xml:space="preserve">in relation </w:t>
      </w:r>
      <w:r>
        <w:t>to:</w:t>
      </w:r>
    </w:p>
    <w:p w14:paraId="2896C289" w14:textId="77777777" w:rsidR="00256CC8" w:rsidRPr="00A670D9" w:rsidRDefault="00214913" w:rsidP="008B589C">
      <w:pPr>
        <w:pStyle w:val="SOWSubL1-ASDEFCON"/>
      </w:pPr>
      <w:r>
        <w:t>evolution of technology;</w:t>
      </w:r>
    </w:p>
    <w:p w14:paraId="3AB1C5CE" w14:textId="77777777" w:rsidR="00256CC8" w:rsidRPr="00A670D9" w:rsidRDefault="00214913" w:rsidP="00925EB7">
      <w:pPr>
        <w:pStyle w:val="SOWSubL1-ASDEFCON"/>
      </w:pPr>
      <w:r>
        <w:t>changes to threats</w:t>
      </w:r>
      <w:r w:rsidR="00A70986">
        <w:t>, including cyber threats</w:t>
      </w:r>
      <w:r>
        <w:t>;</w:t>
      </w:r>
    </w:p>
    <w:p w14:paraId="50FE46FA" w14:textId="77777777" w:rsidR="00256CC8" w:rsidRPr="00A670D9" w:rsidRDefault="00214913" w:rsidP="00925EB7">
      <w:pPr>
        <w:pStyle w:val="SOWSubL1-ASDEFCON"/>
      </w:pPr>
      <w:r>
        <w:t>changes to user needs;</w:t>
      </w:r>
    </w:p>
    <w:p w14:paraId="45F5C82D" w14:textId="77777777" w:rsidR="00A70986" w:rsidRDefault="00DD2321" w:rsidP="00925EB7">
      <w:pPr>
        <w:pStyle w:val="SOWSubL1-ASDEFCON"/>
      </w:pPr>
      <w:r w:rsidRPr="00A670D9">
        <w:t xml:space="preserve">changes to </w:t>
      </w:r>
      <w:r w:rsidR="00214913">
        <w:t>external systems and interfaces</w:t>
      </w:r>
      <w:r w:rsidR="00F4506A" w:rsidRPr="00F4506A">
        <w:t xml:space="preserve"> </w:t>
      </w:r>
      <w:r w:rsidR="00F4506A">
        <w:t>including, if applicable, changes to host systems (</w:t>
      </w:r>
      <w:r w:rsidR="005B404F">
        <w:t>i</w:t>
      </w:r>
      <w:r w:rsidR="00F4506A">
        <w:t xml:space="preserve">e, </w:t>
      </w:r>
      <w:r w:rsidR="005B404F">
        <w:t xml:space="preserve">the </w:t>
      </w:r>
      <w:r w:rsidR="009102EC">
        <w:t>materiel systems</w:t>
      </w:r>
      <w:r w:rsidR="005B404F">
        <w:t xml:space="preserve">, </w:t>
      </w:r>
      <w:r w:rsidR="00F4506A">
        <w:t>platforms or information technology networks</w:t>
      </w:r>
      <w:r w:rsidR="005B404F">
        <w:t xml:space="preserve"> for which the system being analysed is a component</w:t>
      </w:r>
      <w:r w:rsidR="00F4506A">
        <w:t>)</w:t>
      </w:r>
      <w:r w:rsidR="00214913">
        <w:t>;</w:t>
      </w:r>
    </w:p>
    <w:p w14:paraId="010D3AA5" w14:textId="77777777" w:rsidR="00256CC8" w:rsidRPr="00A670D9" w:rsidRDefault="00A70986" w:rsidP="00925EB7">
      <w:pPr>
        <w:pStyle w:val="SOWSubL1-ASDEFCON"/>
      </w:pPr>
      <w:r>
        <w:t>Supportability considerations (eg, Obsolescence and reliability growth);</w:t>
      </w:r>
      <w:r w:rsidR="00256CC8" w:rsidRPr="00A670D9">
        <w:t xml:space="preserve"> or</w:t>
      </w:r>
    </w:p>
    <w:p w14:paraId="738F8CAD" w14:textId="77777777" w:rsidR="00256CC8" w:rsidRPr="00A670D9" w:rsidRDefault="00256CC8" w:rsidP="00925EB7">
      <w:pPr>
        <w:pStyle w:val="SOWSubL1-ASDEFCON"/>
      </w:pPr>
      <w:r w:rsidRPr="00A670D9">
        <w:t>system enhancements or upgrades</w:t>
      </w:r>
      <w:r w:rsidR="009102EC">
        <w:t>, including those planned by the Contractor or component element suppliers</w:t>
      </w:r>
      <w:r w:rsidRPr="00A670D9">
        <w:t>.</w:t>
      </w:r>
    </w:p>
    <w:p w14:paraId="6514C6A7" w14:textId="77777777" w:rsidR="009102EC" w:rsidRDefault="009102EC" w:rsidP="009102EC">
      <w:pPr>
        <w:pStyle w:val="SOWHL3-ASDEFCON"/>
      </w:pPr>
      <w:r>
        <w:t>Candidate Elements</w:t>
      </w:r>
    </w:p>
    <w:p w14:paraId="6915D925" w14:textId="0BE7F81C" w:rsidR="009102EC" w:rsidRDefault="009102EC" w:rsidP="00925EB7">
      <w:pPr>
        <w:pStyle w:val="SOWTL4-ASDEFCON"/>
      </w:pPr>
      <w:r>
        <w:t xml:space="preserve">The </w:t>
      </w:r>
      <w:r w:rsidR="00287A7F">
        <w:t>GEOPP</w:t>
      </w:r>
      <w:r>
        <w:t xml:space="preserve"> shall identify candidate elements for change based on an assessment of the potential areas of the system that may change during the post-design phase (ie, post-DDR) or over the LOT of the system due to the Change Drivers identified in response to clause </w:t>
      </w:r>
      <w:r>
        <w:fldChar w:fldCharType="begin"/>
      </w:r>
      <w:r>
        <w:instrText xml:space="preserve"> REF _Ref123798355 \r \h </w:instrText>
      </w:r>
      <w:r>
        <w:fldChar w:fldCharType="separate"/>
      </w:r>
      <w:r w:rsidR="00AF0542">
        <w:t>6.2.3</w:t>
      </w:r>
      <w:r>
        <w:fldChar w:fldCharType="end"/>
      </w:r>
      <w:r>
        <w:t>.</w:t>
      </w:r>
    </w:p>
    <w:p w14:paraId="0638508A" w14:textId="58451EE4" w:rsidR="00256CC8" w:rsidRDefault="00256CC8" w:rsidP="00925EB7">
      <w:pPr>
        <w:pStyle w:val="SOWTL4-ASDEFCON"/>
      </w:pPr>
      <w:r>
        <w:t>Choice of candidate elements should include</w:t>
      </w:r>
      <w:r w:rsidR="0057111C">
        <w:t xml:space="preserve"> a consideration of </w:t>
      </w:r>
      <w:r>
        <w:t xml:space="preserve">system hardware and </w:t>
      </w:r>
      <w:r w:rsidR="00895F85">
        <w:t>S</w:t>
      </w:r>
      <w:r>
        <w:t>oftware</w:t>
      </w:r>
      <w:r w:rsidR="00A673DC">
        <w:t>,</w:t>
      </w:r>
      <w:r w:rsidR="00F2038C">
        <w:t xml:space="preserve"> as well as elements that interface and integrate with humans</w:t>
      </w:r>
      <w:r>
        <w:t xml:space="preserve">. </w:t>
      </w:r>
      <w:r w:rsidR="00FE129B">
        <w:t xml:space="preserve"> </w:t>
      </w:r>
      <w:r>
        <w:t>An element may be at any level of the system hierarchy and is not necessarily a Hardware Configuration Item (HWCI) or Computer Software Configuration item (CSCI)</w:t>
      </w:r>
      <w:r w:rsidR="00A673DC">
        <w:t xml:space="preserve"> (i</w:t>
      </w:r>
      <w:r w:rsidR="00DA425C">
        <w:t>e</w:t>
      </w:r>
      <w:r w:rsidR="00A673DC">
        <w:t>,</w:t>
      </w:r>
      <w:r w:rsidR="00DA425C">
        <w:t xml:space="preserve"> elements may include subsystems, segments or groups of design components</w:t>
      </w:r>
      <w:r>
        <w:t>).</w:t>
      </w:r>
    </w:p>
    <w:p w14:paraId="3976676B" w14:textId="77777777" w:rsidR="00256CC8" w:rsidRDefault="00256CC8" w:rsidP="00925EB7">
      <w:pPr>
        <w:pStyle w:val="SOWTL4-ASDEFCON"/>
      </w:pPr>
      <w:r>
        <w:t xml:space="preserve">The primary candidate elements are expected to come from the Mission System; however, candidate elements should also be identified for any critical, high value Support System components. </w:t>
      </w:r>
      <w:r w:rsidR="00FE129B">
        <w:t xml:space="preserve"> </w:t>
      </w:r>
      <w:r>
        <w:t>Candidate elements are to include those elements under the control of Subcontractors.</w:t>
      </w:r>
    </w:p>
    <w:p w14:paraId="0E6A50EF" w14:textId="31148791" w:rsidR="00256CC8" w:rsidRDefault="00256CC8" w:rsidP="00925EB7">
      <w:pPr>
        <w:pStyle w:val="SOWTL4-ASDEFCON"/>
      </w:pPr>
      <w:r>
        <w:t xml:space="preserve">The </w:t>
      </w:r>
      <w:r w:rsidR="00287A7F">
        <w:t>GEOPP</w:t>
      </w:r>
      <w:r>
        <w:t xml:space="preserve"> shall include the rationale for either including or excluding elements of the system as candidate elements</w:t>
      </w:r>
      <w:r w:rsidR="00DA425C">
        <w:t xml:space="preserve"> for change</w:t>
      </w:r>
      <w:r>
        <w:t>.</w:t>
      </w:r>
      <w:r w:rsidR="00DA425C">
        <w:t xml:space="preserve"> </w:t>
      </w:r>
      <w:r w:rsidR="00A670D9">
        <w:t xml:space="preserve"> </w:t>
      </w:r>
      <w:r w:rsidR="00DA425C">
        <w:t xml:space="preserve">Although candidate elements may be assessed early in the design process, the list needs to be reassessed (in updates to the </w:t>
      </w:r>
      <w:r w:rsidR="00287A7F">
        <w:t>GEOPP</w:t>
      </w:r>
      <w:r w:rsidR="00DA425C">
        <w:t>) as the design matures and all parties develop greater knowledge of possible future changes</w:t>
      </w:r>
      <w:r>
        <w:t>.</w:t>
      </w:r>
    </w:p>
    <w:p w14:paraId="1FAFAB3B" w14:textId="77777777" w:rsidR="009102EC" w:rsidRDefault="009102EC" w:rsidP="009102EC">
      <w:pPr>
        <w:pStyle w:val="SOWHL3-ASDEFCON"/>
      </w:pPr>
      <w:bookmarkStart w:id="12" w:name="_Ref71314037"/>
      <w:r>
        <w:t>Obsolescence Considerations</w:t>
      </w:r>
      <w:bookmarkEnd w:id="12"/>
    </w:p>
    <w:p w14:paraId="3148B812" w14:textId="1E2FC1C4" w:rsidR="009102EC" w:rsidRDefault="009102EC" w:rsidP="009102EC">
      <w:pPr>
        <w:pStyle w:val="SOWTL4-ASDEFCON"/>
      </w:pPr>
      <w:r>
        <w:t xml:space="preserve">Where the Change Driver for a candidate element is identified as due to Obsolescence, the </w:t>
      </w:r>
      <w:r w:rsidR="00287A7F">
        <w:t>GEOPP</w:t>
      </w:r>
      <w:r>
        <w:t xml:space="preserve"> shall describe and justify the Contractor’s recommended strategy for treating the Obsolescence risks, taking into consideration the </w:t>
      </w:r>
      <w:r w:rsidRPr="00CF32BF">
        <w:t>cost</w:t>
      </w:r>
      <w:r>
        <w:t>s</w:t>
      </w:r>
      <w:r w:rsidRPr="00CF32BF">
        <w:t xml:space="preserve">, timeframes, </w:t>
      </w:r>
      <w:r>
        <w:t>likely ease of making changes</w:t>
      </w:r>
      <w:r w:rsidRPr="00CF32BF">
        <w:t>, and Capability implications</w:t>
      </w:r>
      <w:r>
        <w:t>, and include the following potential strategies (which are not provided in any order of priority and more than one may be applicable for a particular candidate element or for products at different levels of the product hierarchy</w:t>
      </w:r>
      <w:r>
        <w:rPr>
          <w:rStyle w:val="FootnoteReference"/>
        </w:rPr>
        <w:footnoteReference w:id="1"/>
      </w:r>
      <w:r>
        <w:t>):</w:t>
      </w:r>
    </w:p>
    <w:p w14:paraId="4DCA68E0" w14:textId="77777777" w:rsidR="009102EC" w:rsidRDefault="009102EC" w:rsidP="009102EC">
      <w:pPr>
        <w:pStyle w:val="SOWSubL1-ASDEFCON"/>
      </w:pPr>
      <w:r>
        <w:t>accept the risk and react to the Obsolescence problem when it arises;</w:t>
      </w:r>
    </w:p>
    <w:p w14:paraId="69262726" w14:textId="77777777" w:rsidR="009102EC" w:rsidRDefault="009102EC" w:rsidP="009102EC">
      <w:pPr>
        <w:pStyle w:val="SOWSubL1-ASDEFCON"/>
      </w:pPr>
      <w:r>
        <w:t>undertake Obsolescence monitoring;</w:t>
      </w:r>
    </w:p>
    <w:p w14:paraId="77B8CB78" w14:textId="77777777" w:rsidR="009102EC" w:rsidRDefault="009102EC" w:rsidP="009102EC">
      <w:pPr>
        <w:pStyle w:val="SOWSubL1-ASDEFCON"/>
      </w:pPr>
      <w:r>
        <w:t>undertake a LOT buy of the affected product;</w:t>
      </w:r>
    </w:p>
    <w:p w14:paraId="0762C5AA" w14:textId="77777777" w:rsidR="009102EC" w:rsidRDefault="009102EC" w:rsidP="009102EC">
      <w:pPr>
        <w:pStyle w:val="SOWSubL1-ASDEFCON"/>
      </w:pPr>
      <w:r>
        <w:t>implement a modified Maintenance regime for the affected product to extend its remaining life;</w:t>
      </w:r>
    </w:p>
    <w:p w14:paraId="7345C307" w14:textId="77777777" w:rsidR="009102EC" w:rsidRDefault="009102EC" w:rsidP="009102EC">
      <w:pPr>
        <w:pStyle w:val="SOWSubL1-ASDEFCON"/>
      </w:pPr>
      <w:r>
        <w:t>substitute an alternative product that is form, fit and function compatible;</w:t>
      </w:r>
    </w:p>
    <w:p w14:paraId="5657CD31" w14:textId="7FF32D93" w:rsidR="009102EC" w:rsidRDefault="009102EC" w:rsidP="009102EC">
      <w:pPr>
        <w:pStyle w:val="SOWSubL1-ASDEFCON"/>
      </w:pPr>
      <w:r>
        <w:t xml:space="preserve">provide technology transparency – ensuring that </w:t>
      </w:r>
      <w:r w:rsidR="00B9217E">
        <w:t xml:space="preserve">the </w:t>
      </w:r>
      <w:r>
        <w:t xml:space="preserve">applicable Technical Data </w:t>
      </w:r>
      <w:r w:rsidR="0057101D">
        <w:t>and</w:t>
      </w:r>
      <w:r>
        <w:t xml:space="preserve"> Software </w:t>
      </w:r>
      <w:r w:rsidR="00B9217E">
        <w:t>rights are</w:t>
      </w:r>
      <w:r>
        <w:t xml:space="preserve"> obtained for product interfaces</w:t>
      </w:r>
      <w:r w:rsidR="0085281C">
        <w:t>,</w:t>
      </w:r>
      <w:r>
        <w:t xml:space="preserve"> so that product substitution can be facilitated when Obsolescence problems occur;</w:t>
      </w:r>
    </w:p>
    <w:p w14:paraId="0167AF24" w14:textId="458E148A" w:rsidR="009102EC" w:rsidRDefault="009102EC" w:rsidP="009102EC">
      <w:pPr>
        <w:pStyle w:val="SOWSubL1-ASDEFCON"/>
      </w:pPr>
      <w:r>
        <w:t>incorporate flexible design concepts – ensuring that the design facilitates product substitution (refer clause </w:t>
      </w:r>
      <w:r w:rsidR="00736B6F">
        <w:fldChar w:fldCharType="begin"/>
      </w:r>
      <w:r w:rsidR="00736B6F">
        <w:instrText xml:space="preserve"> REF _Ref123798431 \r \h </w:instrText>
      </w:r>
      <w:r w:rsidR="00736B6F">
        <w:fldChar w:fldCharType="separate"/>
      </w:r>
      <w:r w:rsidR="00AF0542">
        <w:t>6.2.8.1</w:t>
      </w:r>
      <w:r w:rsidR="00736B6F">
        <w:fldChar w:fldCharType="end"/>
      </w:r>
      <w:r>
        <w:t>); and</w:t>
      </w:r>
    </w:p>
    <w:p w14:paraId="01B69F7F" w14:textId="77777777" w:rsidR="009102EC" w:rsidRDefault="009102EC" w:rsidP="009102EC">
      <w:pPr>
        <w:pStyle w:val="SOWSubL1-ASDEFCON"/>
      </w:pPr>
      <w:r>
        <w:t>recognise planned system upgrades – ensuring that the Obsolescence risks are bounded because periodic system upgrades are planned over the LOT.</w:t>
      </w:r>
    </w:p>
    <w:p w14:paraId="56116D14" w14:textId="77777777" w:rsidR="00256CC8" w:rsidRDefault="00256CC8" w:rsidP="00677DB8">
      <w:pPr>
        <w:pStyle w:val="SOWHL3-ASDEFCON"/>
      </w:pPr>
      <w:r>
        <w:t>Design Aspects</w:t>
      </w:r>
    </w:p>
    <w:p w14:paraId="75928877" w14:textId="7BA182BD" w:rsidR="00256CC8" w:rsidRDefault="00256CC8" w:rsidP="00925EB7">
      <w:pPr>
        <w:pStyle w:val="SOWTL4-ASDEFCON"/>
      </w:pPr>
      <w:bookmarkStart w:id="13" w:name="_Ref123798431"/>
      <w:r>
        <w:t xml:space="preserve">The </w:t>
      </w:r>
      <w:r w:rsidR="00287A7F">
        <w:t>GEOPP</w:t>
      </w:r>
      <w:r>
        <w:t xml:space="preserve"> shall identify design aspects for each candidate element that would allow those candidate elements to be either replaced or modified with new or updated technology.  Examples of relevant design aspects include the use of architectural features</w:t>
      </w:r>
      <w:r w:rsidR="007C05B8">
        <w:t>,</w:t>
      </w:r>
      <w:r>
        <w:t xml:space="preserve"> such as:</w:t>
      </w:r>
      <w:bookmarkEnd w:id="13"/>
    </w:p>
    <w:p w14:paraId="118A39EA" w14:textId="77777777" w:rsidR="00256CC8" w:rsidRDefault="00256CC8" w:rsidP="008B589C">
      <w:pPr>
        <w:pStyle w:val="SOWSubL1-ASDEFCON"/>
      </w:pPr>
      <w:r>
        <w:t>standardised internal and external interfaces with the greatest potential design lifetime (ideally greater than the LOT);</w:t>
      </w:r>
    </w:p>
    <w:p w14:paraId="7EDC8312" w14:textId="77777777" w:rsidR="00256CC8" w:rsidRDefault="00256CC8" w:rsidP="00925EB7">
      <w:pPr>
        <w:pStyle w:val="SOWSubL1-ASDEFCON"/>
      </w:pPr>
      <w:r>
        <w:t xml:space="preserve">an open, flexible infrastructure, capable of adaptation, extension and scaling to counter </w:t>
      </w:r>
      <w:r w:rsidR="00674838">
        <w:t>O</w:t>
      </w:r>
      <w:r>
        <w:t>bsolescence and to provide new functionality and capacity;</w:t>
      </w:r>
    </w:p>
    <w:p w14:paraId="6C9D4B2A" w14:textId="77777777" w:rsidR="00256CC8" w:rsidRDefault="00256CC8" w:rsidP="00925EB7">
      <w:pPr>
        <w:pStyle w:val="SOWSubL1-ASDEFCON"/>
      </w:pPr>
      <w:r>
        <w:t>modularity of design;</w:t>
      </w:r>
    </w:p>
    <w:p w14:paraId="69596D63" w14:textId="77777777" w:rsidR="00256CC8" w:rsidRDefault="00256CC8" w:rsidP="00925EB7">
      <w:pPr>
        <w:pStyle w:val="SOWSubL1-ASDEFCON"/>
      </w:pPr>
      <w:r>
        <w:t>use of standards and 'openness' of architecture; and</w:t>
      </w:r>
    </w:p>
    <w:p w14:paraId="26C654CB" w14:textId="77777777" w:rsidR="00256CC8" w:rsidRDefault="00256CC8" w:rsidP="00925EB7">
      <w:pPr>
        <w:pStyle w:val="SOWSubL1-ASDEFCON"/>
      </w:pPr>
      <w:r>
        <w:t>minimisation of software dependence upon the hardware platform.</w:t>
      </w:r>
    </w:p>
    <w:p w14:paraId="21AFC3D1" w14:textId="7E218E48" w:rsidR="00DD2321" w:rsidRDefault="00DD2321" w:rsidP="00925EB7">
      <w:pPr>
        <w:pStyle w:val="SOWTL4-ASDEFCON"/>
      </w:pPr>
      <w:bookmarkStart w:id="14" w:name="_Ref145058870"/>
      <w:r>
        <w:t xml:space="preserve">Key interfaces are those </w:t>
      </w:r>
      <w:r w:rsidRPr="00DD2321">
        <w:t>most likely to be subject to change or with the greatest desired design life</w:t>
      </w:r>
      <w:r>
        <w:t xml:space="preserve">. </w:t>
      </w:r>
      <w:r w:rsidR="007C05B8">
        <w:t xml:space="preserve"> </w:t>
      </w:r>
      <w:r>
        <w:t xml:space="preserve">The </w:t>
      </w:r>
      <w:r w:rsidR="00287A7F">
        <w:t>GEOPP</w:t>
      </w:r>
      <w:r>
        <w:t xml:space="preserve"> shall identify the </w:t>
      </w:r>
      <w:r w:rsidRPr="00DD2321">
        <w:t xml:space="preserve">key </w:t>
      </w:r>
      <w:r>
        <w:t xml:space="preserve">internal and external </w:t>
      </w:r>
      <w:r w:rsidRPr="00DD2321">
        <w:t xml:space="preserve">interfaces at which </w:t>
      </w:r>
      <w:r>
        <w:t xml:space="preserve">future </w:t>
      </w:r>
      <w:r w:rsidRPr="00DD2321">
        <w:t>change is likely to occur</w:t>
      </w:r>
      <w:r>
        <w:t xml:space="preserve"> and discuss the design approach taken to ensure interface longevity.</w:t>
      </w:r>
      <w:bookmarkEnd w:id="14"/>
    </w:p>
    <w:p w14:paraId="6EF7FB1F" w14:textId="685C69A6" w:rsidR="00256CC8" w:rsidRDefault="00256CC8" w:rsidP="00925EB7">
      <w:pPr>
        <w:pStyle w:val="SOWTL4-ASDEFCON"/>
      </w:pPr>
      <w:r>
        <w:t xml:space="preserve">The </w:t>
      </w:r>
      <w:r w:rsidR="00287A7F">
        <w:t>GEOPP</w:t>
      </w:r>
      <w:r>
        <w:t xml:space="preserve"> shall identify likely impacts upon performance of the system that may be expected due to 'natural' evolution of technology</w:t>
      </w:r>
      <w:r w:rsidR="004D1B0B">
        <w:t xml:space="preserve"> and the consequence of that increased performance to the longevity of the overall design</w:t>
      </w:r>
      <w:r>
        <w:t>.</w:t>
      </w:r>
    </w:p>
    <w:p w14:paraId="3A69B811" w14:textId="77777777" w:rsidR="00256CC8" w:rsidRDefault="00256CC8" w:rsidP="00677DB8">
      <w:pPr>
        <w:pStyle w:val="SOWHL3-ASDEFCON"/>
      </w:pPr>
      <w:r>
        <w:t>Acquisition Phase</w:t>
      </w:r>
    </w:p>
    <w:p w14:paraId="04C73BEC" w14:textId="3C4DEB22" w:rsidR="00256CC8" w:rsidRDefault="00256CC8" w:rsidP="00925EB7">
      <w:pPr>
        <w:pStyle w:val="SOWTL4-ASDEFCON"/>
      </w:pPr>
      <w:r>
        <w:t xml:space="preserve">For the identified candidate elements, the </w:t>
      </w:r>
      <w:r w:rsidR="00287A7F">
        <w:t>GEOPP</w:t>
      </w:r>
      <w:r>
        <w:t xml:space="preserve"> shall identify the steps that will be taken by the Contractor, including the applicable scheduling and purchasing approach, to ensure that:</w:t>
      </w:r>
    </w:p>
    <w:p w14:paraId="6A5274BE" w14:textId="14424B6D" w:rsidR="00256CC8" w:rsidRDefault="00256CC8" w:rsidP="008B589C">
      <w:pPr>
        <w:pStyle w:val="SOWSubL1-ASDEFCON"/>
      </w:pPr>
      <w:r>
        <w:t xml:space="preserve">at the time of delivery, a balance has been achieved between the risks of immature technology and equipment </w:t>
      </w:r>
      <w:r w:rsidR="00674838">
        <w:t>O</w:t>
      </w:r>
      <w:r>
        <w:t xml:space="preserve">bsolescence (noting that a primary aim of the </w:t>
      </w:r>
      <w:r w:rsidR="00287A7F">
        <w:t>GEOPP</w:t>
      </w:r>
      <w:r>
        <w:t xml:space="preserve"> is to demonstrate that the Contractor has incorporated appropriate steps into its design-and-development plans to ensure that it will not deliver equipment that has </w:t>
      </w:r>
      <w:r w:rsidR="00674838">
        <w:t>O</w:t>
      </w:r>
      <w:r>
        <w:t>bsolescence problems); and</w:t>
      </w:r>
    </w:p>
    <w:p w14:paraId="78559D13" w14:textId="77777777" w:rsidR="00256CC8" w:rsidRDefault="00256CC8" w:rsidP="00925EB7">
      <w:pPr>
        <w:pStyle w:val="SOWSubL1-ASDEFCON"/>
      </w:pPr>
      <w:r>
        <w:t>the Contractor’s solutions for the Mission System and Support System will minimise LCC (as demonstrated in accordance with the Approved LCCMP) when any expected through-life upgrades and enhancements are taken into consideration.</w:t>
      </w:r>
    </w:p>
    <w:p w14:paraId="0777CC01" w14:textId="4E54406E" w:rsidR="00256CC8" w:rsidRDefault="00256CC8" w:rsidP="00925EB7">
      <w:pPr>
        <w:pStyle w:val="SOWTL4-ASDEFCON"/>
      </w:pPr>
      <w:r>
        <w:t xml:space="preserve">The </w:t>
      </w:r>
      <w:r w:rsidR="00287A7F">
        <w:t>GEOPP</w:t>
      </w:r>
      <w:r>
        <w:t xml:space="preserve"> shall identify the issues relating to system growth that will be addressed at each Mandated System Review and each Internal System Review.  The entry and exit criteria </w:t>
      </w:r>
      <w:r w:rsidR="00674838">
        <w:t xml:space="preserve">and checklist items </w:t>
      </w:r>
      <w:r>
        <w:t>for each review, which relate to system growth, should be included in the SRP.</w:t>
      </w:r>
    </w:p>
    <w:p w14:paraId="19D9FDA2" w14:textId="11389FC5" w:rsidR="00256CC8" w:rsidRDefault="00256CC8" w:rsidP="00925EB7">
      <w:pPr>
        <w:pStyle w:val="SOWTL4-ASDEFCON"/>
      </w:pPr>
      <w:r>
        <w:t xml:space="preserve">The </w:t>
      </w:r>
      <w:r w:rsidR="00287A7F">
        <w:t>GEOPP</w:t>
      </w:r>
      <w:r>
        <w:t xml:space="preserve"> shall identify the key decision points in the schedule where design or purchasing decisions, which relate to either system </w:t>
      </w:r>
      <w:r w:rsidR="00674838">
        <w:t>O</w:t>
      </w:r>
      <w:r>
        <w:t>bsolescence or system growth, need to occur and the visibility of these that will be provided to the Commonwealth.</w:t>
      </w:r>
    </w:p>
    <w:p w14:paraId="5AE3FD53" w14:textId="4455F9F2" w:rsidR="00256CC8" w:rsidRDefault="00256CC8" w:rsidP="00925EB7">
      <w:pPr>
        <w:pStyle w:val="SOWTL4-ASDEFCON"/>
      </w:pPr>
      <w:r>
        <w:t xml:space="preserve">The </w:t>
      </w:r>
      <w:r w:rsidR="00287A7F">
        <w:t>GEOPP</w:t>
      </w:r>
      <w:r>
        <w:t xml:space="preserve"> shall describe the Contractor’s methodology for incorporating the growth</w:t>
      </w:r>
      <w:r w:rsidR="00E34089">
        <w:t xml:space="preserve">, evolution and </w:t>
      </w:r>
      <w:r w:rsidR="00D52747">
        <w:t xml:space="preserve">Obsolescence </w:t>
      </w:r>
      <w:r>
        <w:t>program into the LCC program (with appropriate cross-references to the LCCMP).</w:t>
      </w:r>
    </w:p>
    <w:p w14:paraId="777A524F" w14:textId="77777777" w:rsidR="00256CC8" w:rsidRDefault="00256CC8" w:rsidP="00677DB8">
      <w:pPr>
        <w:pStyle w:val="SOWHL3-ASDEFCON"/>
      </w:pPr>
      <w:r>
        <w:t>Support Phase</w:t>
      </w:r>
    </w:p>
    <w:p w14:paraId="2AB495E4" w14:textId="75590DCE" w:rsidR="00256CC8" w:rsidRDefault="00256CC8" w:rsidP="00925EB7">
      <w:pPr>
        <w:pStyle w:val="SOWTL4-ASDEFCON"/>
      </w:pPr>
      <w:r>
        <w:t xml:space="preserve">For the identified candidate elements, the </w:t>
      </w:r>
      <w:r w:rsidR="00287A7F">
        <w:t>GEOPP</w:t>
      </w:r>
      <w:r>
        <w:t xml:space="preserve"> shall identify the expected need for </w:t>
      </w:r>
      <w:r w:rsidR="00810268">
        <w:t xml:space="preserve">growth and evolution </w:t>
      </w:r>
      <w:r>
        <w:t xml:space="preserve">due to </w:t>
      </w:r>
      <w:r w:rsidR="00810268">
        <w:t>the Change Drivers</w:t>
      </w:r>
      <w:r w:rsidR="00B81BBC">
        <w:t>,</w:t>
      </w:r>
      <w:r w:rsidR="00810268">
        <w:t xml:space="preserve"> </w:t>
      </w:r>
      <w:r w:rsidR="00B81BBC">
        <w:t>which</w:t>
      </w:r>
      <w:r w:rsidR="00810268">
        <w:t xml:space="preserve"> have applicability during the support phase</w:t>
      </w:r>
      <w:r>
        <w:t xml:space="preserve">, as well as the Contractor’s plans and timeframes for incorporating any </w:t>
      </w:r>
      <w:r w:rsidR="008730E5">
        <w:t xml:space="preserve">resulting </w:t>
      </w:r>
      <w:r>
        <w:t>upgrades</w:t>
      </w:r>
      <w:r w:rsidR="008730E5">
        <w:t xml:space="preserve"> to the system</w:t>
      </w:r>
      <w:r>
        <w:t>.</w:t>
      </w:r>
    </w:p>
    <w:p w14:paraId="6CE70299" w14:textId="108E558A" w:rsidR="00256CC8" w:rsidRDefault="00256CC8" w:rsidP="00925EB7">
      <w:pPr>
        <w:pStyle w:val="SOWTL4-ASDEFCON"/>
      </w:pPr>
      <w:r>
        <w:t xml:space="preserve">The </w:t>
      </w:r>
      <w:r w:rsidR="00287A7F">
        <w:t>GEOPP</w:t>
      </w:r>
      <w:r>
        <w:t xml:space="preserve"> shall identify and explain any implications for the Commonwealth of not maintaining the system delivered to the Commonwealth with the most current configuration of that system</w:t>
      </w:r>
      <w:r w:rsidR="008F1905">
        <w:t>, or applicable subsystem,</w:t>
      </w:r>
      <w:r>
        <w:t xml:space="preserve"> as it is upgraded by the </w:t>
      </w:r>
      <w:r w:rsidR="008F1905">
        <w:t xml:space="preserve">original equipment manufacturer </w:t>
      </w:r>
      <w:r>
        <w:t>through</w:t>
      </w:r>
      <w:r w:rsidR="008F1905">
        <w:t>out</w:t>
      </w:r>
      <w:r>
        <w:t xml:space="preserve"> the LOT.  T</w:t>
      </w:r>
      <w:r w:rsidR="008F1905">
        <w:t>o the extent known, t</w:t>
      </w:r>
      <w:r>
        <w:t xml:space="preserve">he </w:t>
      </w:r>
      <w:r w:rsidR="00287A7F">
        <w:t>GEOPP</w:t>
      </w:r>
      <w:r>
        <w:t xml:space="preserve"> shall also identify any implications should the Commonwealth choose not to proceed with any particular upgrade.</w:t>
      </w:r>
    </w:p>
    <w:p w14:paraId="755B9F51" w14:textId="77777777" w:rsidR="00256CC8" w:rsidRDefault="00004828" w:rsidP="00677DB8">
      <w:pPr>
        <w:pStyle w:val="SOWHL3-ASDEFCON"/>
      </w:pPr>
      <w:r>
        <w:t>Technical Data and Software Rights</w:t>
      </w:r>
    </w:p>
    <w:p w14:paraId="56FBCA74" w14:textId="5D46066E" w:rsidR="008B786A" w:rsidRDefault="00256CC8" w:rsidP="00A363A9">
      <w:pPr>
        <w:pStyle w:val="SOWTL4-ASDEFCON"/>
      </w:pPr>
      <w:r>
        <w:t>For each of the areas of potential system growth</w:t>
      </w:r>
      <w:r w:rsidR="00810268">
        <w:t>, evolution and Obsolescence</w:t>
      </w:r>
      <w:r>
        <w:t xml:space="preserve"> over the LOT, </w:t>
      </w:r>
      <w:r w:rsidR="001F4AB7">
        <w:t>including the key interfaces discussed in</w:t>
      </w:r>
      <w:r w:rsidR="007C05B8">
        <w:t xml:space="preserve"> response to clause</w:t>
      </w:r>
      <w:r w:rsidR="001F4AB7">
        <w:t xml:space="preserve"> </w:t>
      </w:r>
      <w:r w:rsidR="0020509E">
        <w:fldChar w:fldCharType="begin"/>
      </w:r>
      <w:r w:rsidR="0020509E">
        <w:instrText xml:space="preserve"> REF _Ref145058870 \r \h </w:instrText>
      </w:r>
      <w:r w:rsidR="0020509E">
        <w:fldChar w:fldCharType="separate"/>
      </w:r>
      <w:r w:rsidR="00AF0542">
        <w:t>6.2.8.2</w:t>
      </w:r>
      <w:r w:rsidR="0020509E">
        <w:fldChar w:fldCharType="end"/>
      </w:r>
      <w:r w:rsidR="001F4AB7">
        <w:t xml:space="preserve">, </w:t>
      </w:r>
      <w:r>
        <w:t xml:space="preserve">the </w:t>
      </w:r>
      <w:r w:rsidR="00287A7F">
        <w:t>GEOPP</w:t>
      </w:r>
      <w:r>
        <w:t xml:space="preserve"> shall identify any issues </w:t>
      </w:r>
      <w:r w:rsidR="002D5505">
        <w:t xml:space="preserve">or </w:t>
      </w:r>
      <w:r>
        <w:t xml:space="preserve">limitations associated with </w:t>
      </w:r>
      <w:r w:rsidR="00936EFC">
        <w:t xml:space="preserve">Technical Data and Software </w:t>
      </w:r>
      <w:r w:rsidR="00D04AE6">
        <w:t>rights</w:t>
      </w:r>
      <w:r w:rsidR="002D5505">
        <w:t>,</w:t>
      </w:r>
      <w:r w:rsidR="002D5505" w:rsidRPr="002D5505">
        <w:t xml:space="preserve"> </w:t>
      </w:r>
      <w:r w:rsidR="002D5505">
        <w:t xml:space="preserve">the implications </w:t>
      </w:r>
      <w:r w:rsidR="00936EFC">
        <w:t>of th</w:t>
      </w:r>
      <w:r w:rsidR="00D04AE6">
        <w:t>os</w:t>
      </w:r>
      <w:r w:rsidR="00936EFC">
        <w:t xml:space="preserve">e issues and limitations, </w:t>
      </w:r>
      <w:r w:rsidR="002D5505">
        <w:t>and how the</w:t>
      </w:r>
      <w:r w:rsidR="00936EFC">
        <w:t xml:space="preserve"> Contractor proposes that these </w:t>
      </w:r>
      <w:r w:rsidR="00D04AE6">
        <w:t xml:space="preserve">are to </w:t>
      </w:r>
      <w:r w:rsidR="002D5505">
        <w:t>be addressed</w:t>
      </w:r>
      <w:r>
        <w:t>.</w:t>
      </w:r>
    </w:p>
    <w:sectPr w:rsidR="008B786A" w:rsidSect="00172E6A">
      <w:headerReference w:type="default" r:id="rId8"/>
      <w:footerReference w:type="default" r:id="rId9"/>
      <w:pgSz w:w="11907" w:h="16840" w:code="9"/>
      <w:pgMar w:top="1418" w:right="1418" w:bottom="1418" w:left="1418" w:header="567" w:footer="283" w:gutter="0"/>
      <w:paperSrc w:first="4" w:other="4"/>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A8C7E" w14:textId="77777777" w:rsidR="00957F49" w:rsidRDefault="00957F49">
      <w:r>
        <w:separator/>
      </w:r>
    </w:p>
  </w:endnote>
  <w:endnote w:type="continuationSeparator" w:id="0">
    <w:p w14:paraId="1CEF31A4" w14:textId="77777777" w:rsidR="00957F49" w:rsidRDefault="00957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71FE0" w14:paraId="3D7E2B2F" w14:textId="77777777" w:rsidTr="00172E6A">
      <w:tc>
        <w:tcPr>
          <w:tcW w:w="2500" w:type="pct"/>
        </w:tcPr>
        <w:p w14:paraId="02073FB1" w14:textId="77777777" w:rsidR="00471FE0" w:rsidRDefault="00471FE0" w:rsidP="00172E6A">
          <w:pPr>
            <w:pStyle w:val="ASDEFCONHeaderFooterLeft"/>
          </w:pPr>
        </w:p>
      </w:tc>
      <w:tc>
        <w:tcPr>
          <w:tcW w:w="2500" w:type="pct"/>
        </w:tcPr>
        <w:p w14:paraId="6B231F8C" w14:textId="1731FB82" w:rsidR="00471FE0" w:rsidRPr="00743DDE" w:rsidRDefault="00471FE0" w:rsidP="00172E6A">
          <w:pPr>
            <w:pStyle w:val="ASDEFCONHeaderFooterRight"/>
            <w:rPr>
              <w:szCs w:val="16"/>
            </w:rPr>
          </w:pPr>
          <w:r w:rsidRPr="00743DDE">
            <w:rPr>
              <w:rStyle w:val="PageNumber"/>
              <w:color w:val="auto"/>
              <w:szCs w:val="16"/>
            </w:rPr>
            <w:fldChar w:fldCharType="begin"/>
          </w:r>
          <w:r w:rsidRPr="00743DDE">
            <w:rPr>
              <w:rStyle w:val="PageNumber"/>
              <w:color w:val="auto"/>
              <w:szCs w:val="16"/>
            </w:rPr>
            <w:instrText xml:space="preserve"> PAGE </w:instrText>
          </w:r>
          <w:r w:rsidRPr="00743DDE">
            <w:rPr>
              <w:rStyle w:val="PageNumber"/>
              <w:color w:val="auto"/>
              <w:szCs w:val="16"/>
            </w:rPr>
            <w:fldChar w:fldCharType="separate"/>
          </w:r>
          <w:r w:rsidR="00AF0542">
            <w:rPr>
              <w:rStyle w:val="PageNumber"/>
              <w:noProof/>
              <w:color w:val="auto"/>
              <w:szCs w:val="16"/>
            </w:rPr>
            <w:t>1</w:t>
          </w:r>
          <w:r w:rsidRPr="00743DDE">
            <w:rPr>
              <w:rStyle w:val="PageNumber"/>
              <w:color w:val="auto"/>
              <w:szCs w:val="16"/>
            </w:rPr>
            <w:fldChar w:fldCharType="end"/>
          </w:r>
        </w:p>
      </w:tc>
    </w:tr>
    <w:tr w:rsidR="00471FE0" w14:paraId="65D75349" w14:textId="77777777" w:rsidTr="00172E6A">
      <w:tc>
        <w:tcPr>
          <w:tcW w:w="5000" w:type="pct"/>
          <w:gridSpan w:val="2"/>
        </w:tcPr>
        <w:p w14:paraId="2C4B7514" w14:textId="37A8DF43" w:rsidR="00471FE0" w:rsidRDefault="006C255F" w:rsidP="00C563E1">
          <w:pPr>
            <w:pStyle w:val="ASDEFCONHeaderFooterClassification"/>
          </w:pPr>
          <w:r>
            <w:fldChar w:fldCharType="begin"/>
          </w:r>
          <w:r>
            <w:instrText xml:space="preserve"> DOCPROPERTY  Classification  \* MERGEFORMAT </w:instrText>
          </w:r>
          <w:r>
            <w:fldChar w:fldCharType="separate"/>
          </w:r>
          <w:r w:rsidR="00AF0542">
            <w:t>OFFICIAL</w:t>
          </w:r>
          <w:r>
            <w:fldChar w:fldCharType="end"/>
          </w:r>
        </w:p>
      </w:tc>
    </w:tr>
  </w:tbl>
  <w:p w14:paraId="10A2FB41" w14:textId="77777777" w:rsidR="00471FE0" w:rsidRPr="00172E6A" w:rsidRDefault="00471FE0" w:rsidP="00172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9DD63" w14:textId="77777777" w:rsidR="00957F49" w:rsidRDefault="00957F49">
      <w:r>
        <w:separator/>
      </w:r>
    </w:p>
  </w:footnote>
  <w:footnote w:type="continuationSeparator" w:id="0">
    <w:p w14:paraId="02A0C568" w14:textId="77777777" w:rsidR="00957F49" w:rsidRDefault="00957F49">
      <w:r>
        <w:continuationSeparator/>
      </w:r>
    </w:p>
  </w:footnote>
  <w:footnote w:id="1">
    <w:p w14:paraId="68192D29" w14:textId="77777777" w:rsidR="009102EC" w:rsidRDefault="009102EC" w:rsidP="00A20DEC">
      <w:pPr>
        <w:pStyle w:val="ASDEFCONHeaderFooterLeft"/>
      </w:pPr>
      <w:r>
        <w:rPr>
          <w:rStyle w:val="FootnoteReference"/>
        </w:rPr>
        <w:footnoteRef/>
      </w:r>
      <w:r>
        <w:t xml:space="preserve"> One set of strategies may be defined at a particular level of the product hierarchy (eg, Mission System or major subsystem), while different strategies may also be defined for subordinate products.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471FE0" w14:paraId="0915A0E6" w14:textId="77777777" w:rsidTr="00172E6A">
      <w:tc>
        <w:tcPr>
          <w:tcW w:w="5000" w:type="pct"/>
          <w:gridSpan w:val="2"/>
        </w:tcPr>
        <w:p w14:paraId="28C42D96" w14:textId="1CAEDB3D" w:rsidR="00471FE0" w:rsidRDefault="006C255F" w:rsidP="00C563E1">
          <w:pPr>
            <w:pStyle w:val="ASDEFCONHeaderFooterClassification"/>
          </w:pPr>
          <w:r>
            <w:fldChar w:fldCharType="begin"/>
          </w:r>
          <w:r>
            <w:instrText xml:space="preserve"> DOCPROPERTY  Classification  \* MERGEFORMAT </w:instrText>
          </w:r>
          <w:r>
            <w:fldChar w:fldCharType="separate"/>
          </w:r>
          <w:r w:rsidR="00AF0542">
            <w:t>OFFICIAL</w:t>
          </w:r>
          <w:r>
            <w:fldChar w:fldCharType="end"/>
          </w:r>
        </w:p>
      </w:tc>
    </w:tr>
    <w:tr w:rsidR="00471FE0" w14:paraId="2897049A" w14:textId="77777777" w:rsidTr="00172E6A">
      <w:tc>
        <w:tcPr>
          <w:tcW w:w="2500" w:type="pct"/>
        </w:tcPr>
        <w:p w14:paraId="1DCA3D05" w14:textId="326487F9" w:rsidR="00471FE0" w:rsidRDefault="006C255F" w:rsidP="00172E6A">
          <w:pPr>
            <w:pStyle w:val="ASDEFCONHeaderFooterLeft"/>
          </w:pPr>
          <w:r>
            <w:fldChar w:fldCharType="begin"/>
          </w:r>
          <w:r>
            <w:instrText xml:space="preserve"> DOCPROPERTY Header_Left </w:instrText>
          </w:r>
          <w:r>
            <w:fldChar w:fldCharType="separate"/>
          </w:r>
          <w:r w:rsidR="00AF0542">
            <w:t>ASDEFCON (Strategic Materiel)</w:t>
          </w:r>
          <w:r>
            <w:fldChar w:fldCharType="end"/>
          </w:r>
        </w:p>
      </w:tc>
      <w:tc>
        <w:tcPr>
          <w:tcW w:w="2500" w:type="pct"/>
        </w:tcPr>
        <w:p w14:paraId="7293BBC2" w14:textId="53EB9C6D" w:rsidR="00471FE0" w:rsidRDefault="00AB0AB3" w:rsidP="00693955">
          <w:pPr>
            <w:pStyle w:val="ASDEFCONHeaderFooterRight"/>
          </w:pPr>
          <w:r>
            <w:fldChar w:fldCharType="begin"/>
          </w:r>
          <w:r>
            <w:instrText xml:space="preserve"> DOCPROPERTY  </w:instrText>
          </w:r>
          <w:r w:rsidR="00693955">
            <w:instrText xml:space="preserve">Header_Right  </w:instrText>
          </w:r>
          <w:r>
            <w:instrText xml:space="preserve">\* MERGEFORMAT </w:instrText>
          </w:r>
          <w:r>
            <w:fldChar w:fldCharType="separate"/>
          </w:r>
          <w:r w:rsidR="00AF0542">
            <w:t>DID-ENG-MGT-GEOPP</w:t>
          </w:r>
          <w:r>
            <w:fldChar w:fldCharType="end"/>
          </w:r>
          <w:r w:rsidR="00471FE0">
            <w:t>-</w:t>
          </w:r>
          <w:r w:rsidR="00AF0542">
            <w:fldChar w:fldCharType="begin"/>
          </w:r>
          <w:r w:rsidR="00AF0542">
            <w:instrText xml:space="preserve"> DOCPROPERTY  Version  \* MERGEFORMAT </w:instrText>
          </w:r>
          <w:r w:rsidR="00AF0542">
            <w:fldChar w:fldCharType="separate"/>
          </w:r>
          <w:r w:rsidR="00AF0542">
            <w:t>V5.4</w:t>
          </w:r>
          <w:r w:rsidR="00AF0542">
            <w:fldChar w:fldCharType="end"/>
          </w:r>
        </w:p>
      </w:tc>
    </w:tr>
  </w:tbl>
  <w:p w14:paraId="44985CFD" w14:textId="77777777" w:rsidR="00471FE0" w:rsidRPr="00172E6A" w:rsidRDefault="00471FE0" w:rsidP="00172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9"/>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1"/>
  </w:num>
  <w:num w:numId="8">
    <w:abstractNumId w:val="19"/>
  </w:num>
  <w:num w:numId="9">
    <w:abstractNumId w:val="24"/>
  </w:num>
  <w:num w:numId="10">
    <w:abstractNumId w:val="35"/>
  </w:num>
  <w:num w:numId="11">
    <w:abstractNumId w:val="13"/>
  </w:num>
  <w:num w:numId="12">
    <w:abstractNumId w:val="16"/>
  </w:num>
  <w:num w:numId="13">
    <w:abstractNumId w:val="37"/>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3"/>
  </w:num>
  <w:num w:numId="22">
    <w:abstractNumId w:val="30"/>
  </w:num>
  <w:num w:numId="23">
    <w:abstractNumId w:val="0"/>
  </w:num>
  <w:num w:numId="24">
    <w:abstractNumId w:val="17"/>
  </w:num>
  <w:num w:numId="25">
    <w:abstractNumId w:val="3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6"/>
  </w:num>
  <w:num w:numId="30">
    <w:abstractNumId w:val="36"/>
  </w:num>
  <w:num w:numId="31">
    <w:abstractNumId w:val="14"/>
  </w:num>
  <w:num w:numId="32">
    <w:abstractNumId w:val="23"/>
  </w:num>
  <w:num w:numId="33">
    <w:abstractNumId w:val="9"/>
  </w:num>
  <w:num w:numId="34">
    <w:abstractNumId w:val="4"/>
  </w:num>
  <w:num w:numId="35">
    <w:abstractNumId w:val="26"/>
  </w:num>
  <w:num w:numId="36">
    <w:abstractNumId w:val="27"/>
  </w:num>
  <w:num w:numId="3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28"/>
  </w:num>
  <w:num w:numId="4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23E"/>
    <w:rsid w:val="00004828"/>
    <w:rsid w:val="000140A7"/>
    <w:rsid w:val="000571F0"/>
    <w:rsid w:val="00070738"/>
    <w:rsid w:val="00082C15"/>
    <w:rsid w:val="0008772E"/>
    <w:rsid w:val="000927CF"/>
    <w:rsid w:val="000A28C0"/>
    <w:rsid w:val="000B541F"/>
    <w:rsid w:val="000B6B74"/>
    <w:rsid w:val="000B6EDF"/>
    <w:rsid w:val="00114FE0"/>
    <w:rsid w:val="0012287A"/>
    <w:rsid w:val="00125B41"/>
    <w:rsid w:val="00126EDB"/>
    <w:rsid w:val="00146C74"/>
    <w:rsid w:val="00172E6A"/>
    <w:rsid w:val="00192C19"/>
    <w:rsid w:val="001B10F7"/>
    <w:rsid w:val="001F4AB7"/>
    <w:rsid w:val="0020509E"/>
    <w:rsid w:val="002058F6"/>
    <w:rsid w:val="002077A1"/>
    <w:rsid w:val="00214913"/>
    <w:rsid w:val="0022060A"/>
    <w:rsid w:val="0025505C"/>
    <w:rsid w:val="00256CC8"/>
    <w:rsid w:val="00257453"/>
    <w:rsid w:val="00263127"/>
    <w:rsid w:val="00271A2F"/>
    <w:rsid w:val="0028663E"/>
    <w:rsid w:val="00287A7F"/>
    <w:rsid w:val="00293E11"/>
    <w:rsid w:val="002A0D90"/>
    <w:rsid w:val="002C5CD7"/>
    <w:rsid w:val="002D5505"/>
    <w:rsid w:val="00310D2C"/>
    <w:rsid w:val="00311621"/>
    <w:rsid w:val="003165B4"/>
    <w:rsid w:val="003306EF"/>
    <w:rsid w:val="0034061F"/>
    <w:rsid w:val="00387814"/>
    <w:rsid w:val="003C7183"/>
    <w:rsid w:val="00415075"/>
    <w:rsid w:val="00437CCF"/>
    <w:rsid w:val="00466580"/>
    <w:rsid w:val="00471FE0"/>
    <w:rsid w:val="00480FCE"/>
    <w:rsid w:val="004C6B47"/>
    <w:rsid w:val="004D1B0B"/>
    <w:rsid w:val="004D761E"/>
    <w:rsid w:val="004E2425"/>
    <w:rsid w:val="004F525D"/>
    <w:rsid w:val="005039CC"/>
    <w:rsid w:val="005248CA"/>
    <w:rsid w:val="0053523A"/>
    <w:rsid w:val="00542C0D"/>
    <w:rsid w:val="0055757C"/>
    <w:rsid w:val="0057101D"/>
    <w:rsid w:val="0057111C"/>
    <w:rsid w:val="005A5ADC"/>
    <w:rsid w:val="005B404F"/>
    <w:rsid w:val="00623FA7"/>
    <w:rsid w:val="006425FE"/>
    <w:rsid w:val="006579B4"/>
    <w:rsid w:val="006612C5"/>
    <w:rsid w:val="00674838"/>
    <w:rsid w:val="00677DB8"/>
    <w:rsid w:val="0069301E"/>
    <w:rsid w:val="00693955"/>
    <w:rsid w:val="006B5B3D"/>
    <w:rsid w:val="006C255F"/>
    <w:rsid w:val="006C53E9"/>
    <w:rsid w:val="006F44E5"/>
    <w:rsid w:val="007060F2"/>
    <w:rsid w:val="00712C45"/>
    <w:rsid w:val="00734DC0"/>
    <w:rsid w:val="00736B6F"/>
    <w:rsid w:val="00741F53"/>
    <w:rsid w:val="00743DDE"/>
    <w:rsid w:val="00745E6D"/>
    <w:rsid w:val="007A70B5"/>
    <w:rsid w:val="007C05B8"/>
    <w:rsid w:val="007D3942"/>
    <w:rsid w:val="00810268"/>
    <w:rsid w:val="008104E6"/>
    <w:rsid w:val="00816478"/>
    <w:rsid w:val="00833E9F"/>
    <w:rsid w:val="0083488C"/>
    <w:rsid w:val="0085281C"/>
    <w:rsid w:val="008730E5"/>
    <w:rsid w:val="00875B8B"/>
    <w:rsid w:val="00880C6E"/>
    <w:rsid w:val="00895AE3"/>
    <w:rsid w:val="00895F85"/>
    <w:rsid w:val="00897A34"/>
    <w:rsid w:val="008B589C"/>
    <w:rsid w:val="008B786A"/>
    <w:rsid w:val="008D4FBF"/>
    <w:rsid w:val="008D6F6E"/>
    <w:rsid w:val="008E46CD"/>
    <w:rsid w:val="008E743A"/>
    <w:rsid w:val="008F1905"/>
    <w:rsid w:val="008F5A20"/>
    <w:rsid w:val="008F5B97"/>
    <w:rsid w:val="008F68C1"/>
    <w:rsid w:val="00906ACE"/>
    <w:rsid w:val="0091007F"/>
    <w:rsid w:val="009102EC"/>
    <w:rsid w:val="00925EB7"/>
    <w:rsid w:val="0093295A"/>
    <w:rsid w:val="00936EFC"/>
    <w:rsid w:val="00957F49"/>
    <w:rsid w:val="00961416"/>
    <w:rsid w:val="00967F8D"/>
    <w:rsid w:val="009816AB"/>
    <w:rsid w:val="009852EA"/>
    <w:rsid w:val="00997756"/>
    <w:rsid w:val="009B12E9"/>
    <w:rsid w:val="009B22A7"/>
    <w:rsid w:val="009B4D2E"/>
    <w:rsid w:val="009B6B94"/>
    <w:rsid w:val="00A02023"/>
    <w:rsid w:val="00A20181"/>
    <w:rsid w:val="00A20DEC"/>
    <w:rsid w:val="00A31D2F"/>
    <w:rsid w:val="00A32B8A"/>
    <w:rsid w:val="00A363A9"/>
    <w:rsid w:val="00A55A0B"/>
    <w:rsid w:val="00A670D9"/>
    <w:rsid w:val="00A673DC"/>
    <w:rsid w:val="00A70986"/>
    <w:rsid w:val="00A719FF"/>
    <w:rsid w:val="00AB0AB3"/>
    <w:rsid w:val="00AB6502"/>
    <w:rsid w:val="00AE31B1"/>
    <w:rsid w:val="00AF0542"/>
    <w:rsid w:val="00B6359E"/>
    <w:rsid w:val="00B65D91"/>
    <w:rsid w:val="00B700C8"/>
    <w:rsid w:val="00B80D25"/>
    <w:rsid w:val="00B81BBC"/>
    <w:rsid w:val="00B9217E"/>
    <w:rsid w:val="00BC33F2"/>
    <w:rsid w:val="00C222CE"/>
    <w:rsid w:val="00C23B27"/>
    <w:rsid w:val="00C24E9E"/>
    <w:rsid w:val="00C563E1"/>
    <w:rsid w:val="00C675DE"/>
    <w:rsid w:val="00CB7374"/>
    <w:rsid w:val="00CC5897"/>
    <w:rsid w:val="00CC68B9"/>
    <w:rsid w:val="00CE1E7B"/>
    <w:rsid w:val="00CF623E"/>
    <w:rsid w:val="00CF7D3B"/>
    <w:rsid w:val="00D04AE6"/>
    <w:rsid w:val="00D52747"/>
    <w:rsid w:val="00DA37AD"/>
    <w:rsid w:val="00DA425C"/>
    <w:rsid w:val="00DA733F"/>
    <w:rsid w:val="00DB16B3"/>
    <w:rsid w:val="00DD2321"/>
    <w:rsid w:val="00DD6A08"/>
    <w:rsid w:val="00DE210B"/>
    <w:rsid w:val="00E34089"/>
    <w:rsid w:val="00E75088"/>
    <w:rsid w:val="00E8535B"/>
    <w:rsid w:val="00EA085A"/>
    <w:rsid w:val="00EB446F"/>
    <w:rsid w:val="00EE4172"/>
    <w:rsid w:val="00F15249"/>
    <w:rsid w:val="00F2038C"/>
    <w:rsid w:val="00F4506A"/>
    <w:rsid w:val="00F51922"/>
    <w:rsid w:val="00F567B3"/>
    <w:rsid w:val="00F633E6"/>
    <w:rsid w:val="00F75BCF"/>
    <w:rsid w:val="00F77B7E"/>
    <w:rsid w:val="00F80E22"/>
    <w:rsid w:val="00F82DAD"/>
    <w:rsid w:val="00FA017C"/>
    <w:rsid w:val="00FC3722"/>
    <w:rsid w:val="00FC651E"/>
    <w:rsid w:val="00FE129B"/>
    <w:rsid w:val="00FE72E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C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542"/>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1."/>
    <w:basedOn w:val="Normal"/>
    <w:next w:val="Normal"/>
    <w:link w:val="Heading1Char"/>
    <w:qFormat/>
    <w:rsid w:val="00AF0542"/>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a."/>
    <w:basedOn w:val="Normal"/>
    <w:next w:val="Normal"/>
    <w:link w:val="Heading2Char"/>
    <w:unhideWhenUsed/>
    <w:qFormat/>
    <w:rsid w:val="00AF0542"/>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1)"/>
    <w:basedOn w:val="Normal"/>
    <w:next w:val="Normal"/>
    <w:link w:val="Heading3Char"/>
    <w:uiPriority w:val="9"/>
    <w:qFormat/>
    <w:rsid w:val="00CC5897"/>
    <w:pPr>
      <w:keepNext/>
      <w:keepLines/>
      <w:spacing w:before="120" w:after="60"/>
      <w:outlineLvl w:val="2"/>
    </w:pPr>
    <w:rPr>
      <w:b/>
      <w:bCs/>
      <w:i/>
      <w:color w:val="CF4520"/>
      <w:sz w:val="24"/>
    </w:rPr>
  </w:style>
  <w:style w:type="paragraph" w:styleId="Heading4">
    <w:name w:val="heading 4"/>
    <w:aliases w:val="Para4,(a)"/>
    <w:basedOn w:val="Normal"/>
    <w:next w:val="Normal"/>
    <w:link w:val="Heading4Char"/>
    <w:uiPriority w:val="9"/>
    <w:qFormat/>
    <w:rsid w:val="00CC5897"/>
    <w:pPr>
      <w:keepNext/>
      <w:keepLines/>
      <w:spacing w:before="200" w:after="60"/>
      <w:outlineLvl w:val="3"/>
    </w:pPr>
    <w:rPr>
      <w:b/>
      <w:bCs/>
      <w:i/>
      <w:iCs/>
    </w:rPr>
  </w:style>
  <w:style w:type="paragraph" w:styleId="Heading5">
    <w:name w:val="heading 5"/>
    <w:aliases w:val="Para5,i."/>
    <w:basedOn w:val="Normal"/>
    <w:next w:val="Normal"/>
    <w:link w:val="Heading5Char"/>
    <w:qFormat/>
    <w:rsid w:val="0034061F"/>
    <w:pPr>
      <w:numPr>
        <w:ilvl w:val="4"/>
        <w:numId w:val="23"/>
      </w:numPr>
      <w:spacing w:before="240" w:after="60"/>
      <w:outlineLvl w:val="4"/>
    </w:pPr>
    <w:rPr>
      <w:sz w:val="22"/>
    </w:rPr>
  </w:style>
  <w:style w:type="paragraph" w:styleId="Heading6">
    <w:name w:val="heading 6"/>
    <w:aliases w:val="A."/>
    <w:basedOn w:val="Normal"/>
    <w:next w:val="Normal"/>
    <w:link w:val="Heading6Char"/>
    <w:qFormat/>
    <w:rsid w:val="0034061F"/>
    <w:pPr>
      <w:numPr>
        <w:ilvl w:val="5"/>
        <w:numId w:val="23"/>
      </w:numPr>
      <w:spacing w:before="240" w:after="60"/>
      <w:outlineLvl w:val="5"/>
    </w:pPr>
    <w:rPr>
      <w:i/>
      <w:sz w:val="22"/>
    </w:rPr>
  </w:style>
  <w:style w:type="paragraph" w:styleId="Heading7">
    <w:name w:val="heading 7"/>
    <w:aliases w:val="(i)"/>
    <w:basedOn w:val="Normal"/>
    <w:next w:val="Normal"/>
    <w:link w:val="Heading7Char"/>
    <w:qFormat/>
    <w:rsid w:val="0034061F"/>
    <w:pPr>
      <w:numPr>
        <w:ilvl w:val="6"/>
        <w:numId w:val="23"/>
      </w:numPr>
      <w:spacing w:before="240" w:after="60"/>
      <w:outlineLvl w:val="6"/>
    </w:pPr>
  </w:style>
  <w:style w:type="paragraph" w:styleId="Heading8">
    <w:name w:val="heading 8"/>
    <w:aliases w:val="(A)"/>
    <w:basedOn w:val="Normal"/>
    <w:next w:val="Normal"/>
    <w:link w:val="Heading8Char"/>
    <w:qFormat/>
    <w:rsid w:val="0034061F"/>
    <w:pPr>
      <w:numPr>
        <w:ilvl w:val="7"/>
        <w:numId w:val="23"/>
      </w:numPr>
      <w:spacing w:before="240" w:after="60"/>
      <w:outlineLvl w:val="7"/>
    </w:pPr>
    <w:rPr>
      <w:i/>
    </w:rPr>
  </w:style>
  <w:style w:type="paragraph" w:styleId="Heading9">
    <w:name w:val="heading 9"/>
    <w:aliases w:val="I"/>
    <w:basedOn w:val="Normal"/>
    <w:next w:val="Normal"/>
    <w:link w:val="Heading9Char"/>
    <w:qFormat/>
    <w:rsid w:val="0034061F"/>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AF05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0542"/>
  </w:style>
  <w:style w:type="paragraph" w:styleId="TOC1">
    <w:name w:val="toc 1"/>
    <w:next w:val="ASDEFCONNormal"/>
    <w:autoRedefine/>
    <w:uiPriority w:val="39"/>
    <w:rsid w:val="00AF0542"/>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AF0542"/>
    <w:pPr>
      <w:spacing w:after="60"/>
      <w:ind w:left="1417" w:hanging="850"/>
    </w:pPr>
    <w:rPr>
      <w:rFonts w:ascii="Arial" w:hAnsi="Arial" w:cs="Arial"/>
      <w:szCs w:val="24"/>
    </w:rPr>
  </w:style>
  <w:style w:type="paragraph" w:styleId="TOC3">
    <w:name w:val="toc 3"/>
    <w:basedOn w:val="Normal"/>
    <w:next w:val="Normal"/>
    <w:autoRedefine/>
    <w:rsid w:val="00AF0542"/>
    <w:pPr>
      <w:spacing w:after="100"/>
      <w:ind w:left="400"/>
    </w:pPr>
  </w:style>
  <w:style w:type="paragraph" w:styleId="BalloonText">
    <w:name w:val="Balloon Text"/>
    <w:basedOn w:val="Normal"/>
    <w:link w:val="BalloonTextChar1"/>
    <w:rsid w:val="00AB6502"/>
    <w:rPr>
      <w:rFonts w:ascii="Calibri" w:hAnsi="Calibri"/>
      <w:sz w:val="18"/>
      <w:szCs w:val="20"/>
    </w:rPr>
  </w:style>
  <w:style w:type="paragraph" w:styleId="CommentSubject">
    <w:name w:val="annotation subject"/>
    <w:basedOn w:val="CommentText"/>
    <w:next w:val="CommentText"/>
    <w:semiHidden/>
    <w:rsid w:val="00CE1E7B"/>
    <w:rPr>
      <w:b/>
      <w:bCs/>
    </w:rPr>
  </w:style>
  <w:style w:type="table" w:styleId="TableGrid">
    <w:name w:val="Table Grid"/>
    <w:basedOn w:val="TableNormal"/>
    <w:rsid w:val="008B786A"/>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8B786A"/>
    <w:rPr>
      <w:szCs w:val="20"/>
    </w:rPr>
  </w:style>
  <w:style w:type="paragraph" w:styleId="BodyText">
    <w:name w:val="Body Text"/>
    <w:basedOn w:val="Normal"/>
    <w:rsid w:val="008B786A"/>
  </w:style>
  <w:style w:type="paragraph" w:customStyle="1" w:styleId="Style1">
    <w:name w:val="Style1"/>
    <w:basedOn w:val="Heading4"/>
    <w:rsid w:val="008B786A"/>
    <w:rPr>
      <w:b w:val="0"/>
    </w:rPr>
  </w:style>
  <w:style w:type="paragraph" w:customStyle="1" w:styleId="COTCOCLV2-ASDEFCON">
    <w:name w:val="COT/COC LV2 - ASDEFCON"/>
    <w:basedOn w:val="ASDEFCONNormal"/>
    <w:next w:val="COTCOCLV3-ASDEFCON"/>
    <w:rsid w:val="00AF0542"/>
    <w:pPr>
      <w:keepNext/>
      <w:keepLines/>
      <w:numPr>
        <w:ilvl w:val="1"/>
        <w:numId w:val="3"/>
      </w:numPr>
      <w:pBdr>
        <w:bottom w:val="single" w:sz="4" w:space="1" w:color="auto"/>
      </w:pBdr>
    </w:pPr>
    <w:rPr>
      <w:b/>
    </w:rPr>
  </w:style>
  <w:style w:type="paragraph" w:customStyle="1" w:styleId="ASDEFCONNormal">
    <w:name w:val="ASDEFCON Normal"/>
    <w:link w:val="ASDEFCONNormalChar"/>
    <w:rsid w:val="00AF0542"/>
    <w:pPr>
      <w:spacing w:after="120"/>
      <w:jc w:val="both"/>
    </w:pPr>
    <w:rPr>
      <w:rFonts w:ascii="Arial" w:hAnsi="Arial"/>
      <w:color w:val="000000"/>
      <w:szCs w:val="40"/>
    </w:rPr>
  </w:style>
  <w:style w:type="character" w:customStyle="1" w:styleId="ASDEFCONNormalChar">
    <w:name w:val="ASDEFCON Normal Char"/>
    <w:link w:val="ASDEFCONNormal"/>
    <w:rsid w:val="00AF0542"/>
    <w:rPr>
      <w:rFonts w:ascii="Arial" w:hAnsi="Arial"/>
      <w:color w:val="000000"/>
      <w:szCs w:val="40"/>
    </w:rPr>
  </w:style>
  <w:style w:type="paragraph" w:customStyle="1" w:styleId="COTCOCLV3-ASDEFCON">
    <w:name w:val="COT/COC LV3 - ASDEFCON"/>
    <w:basedOn w:val="ASDEFCONNormal"/>
    <w:rsid w:val="00AF0542"/>
    <w:pPr>
      <w:numPr>
        <w:ilvl w:val="2"/>
        <w:numId w:val="3"/>
      </w:numPr>
    </w:pPr>
  </w:style>
  <w:style w:type="paragraph" w:customStyle="1" w:styleId="COTCOCLV1-ASDEFCON">
    <w:name w:val="COT/COC LV1 - ASDEFCON"/>
    <w:basedOn w:val="ASDEFCONNormal"/>
    <w:next w:val="COTCOCLV2-ASDEFCON"/>
    <w:rsid w:val="00AF0542"/>
    <w:pPr>
      <w:keepNext/>
      <w:keepLines/>
      <w:numPr>
        <w:numId w:val="3"/>
      </w:numPr>
      <w:spacing w:before="240"/>
    </w:pPr>
    <w:rPr>
      <w:b/>
      <w:caps/>
    </w:rPr>
  </w:style>
  <w:style w:type="paragraph" w:customStyle="1" w:styleId="COTCOCLV4-ASDEFCON">
    <w:name w:val="COT/COC LV4 - ASDEFCON"/>
    <w:basedOn w:val="ASDEFCONNormal"/>
    <w:rsid w:val="00AF0542"/>
    <w:pPr>
      <w:numPr>
        <w:ilvl w:val="3"/>
        <w:numId w:val="3"/>
      </w:numPr>
    </w:pPr>
  </w:style>
  <w:style w:type="paragraph" w:customStyle="1" w:styleId="COTCOCLV5-ASDEFCON">
    <w:name w:val="COT/COC LV5 - ASDEFCON"/>
    <w:basedOn w:val="ASDEFCONNormal"/>
    <w:rsid w:val="00AF0542"/>
    <w:pPr>
      <w:numPr>
        <w:ilvl w:val="4"/>
        <w:numId w:val="3"/>
      </w:numPr>
    </w:pPr>
  </w:style>
  <w:style w:type="paragraph" w:customStyle="1" w:styleId="COTCOCLV6-ASDEFCON">
    <w:name w:val="COT/COC LV6 - ASDEFCON"/>
    <w:basedOn w:val="ASDEFCONNormal"/>
    <w:rsid w:val="00AF0542"/>
    <w:pPr>
      <w:keepLines/>
      <w:numPr>
        <w:ilvl w:val="5"/>
        <w:numId w:val="3"/>
      </w:numPr>
    </w:pPr>
  </w:style>
  <w:style w:type="paragraph" w:customStyle="1" w:styleId="ASDEFCONOption">
    <w:name w:val="ASDEFCON Option"/>
    <w:basedOn w:val="ASDEFCONNormal"/>
    <w:rsid w:val="00AF0542"/>
    <w:pPr>
      <w:keepNext/>
      <w:spacing w:before="60"/>
    </w:pPr>
    <w:rPr>
      <w:b/>
      <w:i/>
      <w:szCs w:val="24"/>
    </w:rPr>
  </w:style>
  <w:style w:type="paragraph" w:customStyle="1" w:styleId="NoteToDrafters-ASDEFCON">
    <w:name w:val="Note To Drafters - ASDEFCON"/>
    <w:basedOn w:val="ASDEFCONNormal"/>
    <w:rsid w:val="00AF0542"/>
    <w:pPr>
      <w:keepNext/>
      <w:shd w:val="clear" w:color="auto" w:fill="000000"/>
    </w:pPr>
    <w:rPr>
      <w:b/>
      <w:i/>
      <w:color w:val="FFFFFF"/>
    </w:rPr>
  </w:style>
  <w:style w:type="paragraph" w:customStyle="1" w:styleId="NoteToTenderers-ASDEFCON">
    <w:name w:val="Note To Tenderers - ASDEFCON"/>
    <w:basedOn w:val="ASDEFCONNormal"/>
    <w:rsid w:val="00AF0542"/>
    <w:pPr>
      <w:keepNext/>
      <w:shd w:val="pct15" w:color="auto" w:fill="auto"/>
    </w:pPr>
    <w:rPr>
      <w:b/>
      <w:i/>
    </w:rPr>
  </w:style>
  <w:style w:type="paragraph" w:customStyle="1" w:styleId="ASDEFCONTitle">
    <w:name w:val="ASDEFCON Title"/>
    <w:basedOn w:val="ASDEFCONNormal"/>
    <w:rsid w:val="00AF0542"/>
    <w:pPr>
      <w:keepLines/>
      <w:spacing w:before="240"/>
      <w:jc w:val="center"/>
    </w:pPr>
    <w:rPr>
      <w:b/>
      <w:caps/>
    </w:rPr>
  </w:style>
  <w:style w:type="paragraph" w:customStyle="1" w:styleId="ATTANNLV1-ASDEFCON">
    <w:name w:val="ATT/ANN LV1 - ASDEFCON"/>
    <w:basedOn w:val="ASDEFCONNormal"/>
    <w:next w:val="ATTANNLV2-ASDEFCON"/>
    <w:rsid w:val="00AF0542"/>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F0542"/>
    <w:pPr>
      <w:numPr>
        <w:ilvl w:val="1"/>
        <w:numId w:val="25"/>
      </w:numPr>
    </w:pPr>
    <w:rPr>
      <w:szCs w:val="24"/>
    </w:rPr>
  </w:style>
  <w:style w:type="character" w:customStyle="1" w:styleId="ATTANNLV2-ASDEFCONChar">
    <w:name w:val="ATT/ANN LV2 - ASDEFCON Char"/>
    <w:link w:val="ATTANNLV2-ASDEFCON"/>
    <w:rsid w:val="00AF0542"/>
    <w:rPr>
      <w:rFonts w:ascii="Arial" w:hAnsi="Arial"/>
      <w:color w:val="000000"/>
      <w:szCs w:val="24"/>
    </w:rPr>
  </w:style>
  <w:style w:type="paragraph" w:customStyle="1" w:styleId="ATTANNLV3-ASDEFCON">
    <w:name w:val="ATT/ANN LV3 - ASDEFCON"/>
    <w:basedOn w:val="ASDEFCONNormal"/>
    <w:rsid w:val="00AF0542"/>
    <w:pPr>
      <w:numPr>
        <w:ilvl w:val="2"/>
        <w:numId w:val="25"/>
      </w:numPr>
    </w:pPr>
    <w:rPr>
      <w:szCs w:val="24"/>
    </w:rPr>
  </w:style>
  <w:style w:type="paragraph" w:customStyle="1" w:styleId="ATTANNLV4-ASDEFCON">
    <w:name w:val="ATT/ANN LV4 - ASDEFCON"/>
    <w:basedOn w:val="ASDEFCONNormal"/>
    <w:rsid w:val="00AF0542"/>
    <w:pPr>
      <w:numPr>
        <w:ilvl w:val="3"/>
        <w:numId w:val="25"/>
      </w:numPr>
    </w:pPr>
    <w:rPr>
      <w:szCs w:val="24"/>
    </w:rPr>
  </w:style>
  <w:style w:type="paragraph" w:customStyle="1" w:styleId="ASDEFCONCoverTitle">
    <w:name w:val="ASDEFCON Cover Title"/>
    <w:rsid w:val="00AF0542"/>
    <w:pPr>
      <w:jc w:val="center"/>
    </w:pPr>
    <w:rPr>
      <w:rFonts w:ascii="Georgia" w:hAnsi="Georgia"/>
      <w:b/>
      <w:color w:val="000000"/>
      <w:sz w:val="100"/>
      <w:szCs w:val="24"/>
    </w:rPr>
  </w:style>
  <w:style w:type="paragraph" w:customStyle="1" w:styleId="ASDEFCONHeaderFooterLeft">
    <w:name w:val="ASDEFCON Header/Footer Left"/>
    <w:basedOn w:val="ASDEFCONNormal"/>
    <w:rsid w:val="00AF0542"/>
    <w:pPr>
      <w:spacing w:after="0"/>
      <w:jc w:val="left"/>
    </w:pPr>
    <w:rPr>
      <w:sz w:val="16"/>
      <w:szCs w:val="24"/>
    </w:rPr>
  </w:style>
  <w:style w:type="paragraph" w:customStyle="1" w:styleId="ASDEFCONCoverPageIncorp">
    <w:name w:val="ASDEFCON Cover Page Incorp"/>
    <w:rsid w:val="00AF054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F0542"/>
    <w:rPr>
      <w:b/>
      <w:i/>
    </w:rPr>
  </w:style>
  <w:style w:type="paragraph" w:customStyle="1" w:styleId="COTCOCLV2NONUM-ASDEFCON">
    <w:name w:val="COT/COC LV2 NONUM - ASDEFCON"/>
    <w:basedOn w:val="COTCOCLV2-ASDEFCON"/>
    <w:next w:val="COTCOCLV3-ASDEFCON"/>
    <w:rsid w:val="00AF054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F0542"/>
    <w:pPr>
      <w:keepNext w:val="0"/>
      <w:numPr>
        <w:numId w:val="0"/>
      </w:numPr>
      <w:ind w:left="851"/>
    </w:pPr>
    <w:rPr>
      <w:bCs/>
      <w:szCs w:val="20"/>
    </w:rPr>
  </w:style>
  <w:style w:type="paragraph" w:customStyle="1" w:styleId="COTCOCLV3NONUM-ASDEFCON">
    <w:name w:val="COT/COC LV3 NONUM - ASDEFCON"/>
    <w:basedOn w:val="COTCOCLV3-ASDEFCON"/>
    <w:next w:val="COTCOCLV3-ASDEFCON"/>
    <w:rsid w:val="00AF0542"/>
    <w:pPr>
      <w:numPr>
        <w:ilvl w:val="0"/>
        <w:numId w:val="0"/>
      </w:numPr>
      <w:ind w:left="851"/>
    </w:pPr>
    <w:rPr>
      <w:szCs w:val="20"/>
    </w:rPr>
  </w:style>
  <w:style w:type="paragraph" w:customStyle="1" w:styleId="COTCOCLV4NONUM-ASDEFCON">
    <w:name w:val="COT/COC LV4 NONUM - ASDEFCON"/>
    <w:basedOn w:val="COTCOCLV4-ASDEFCON"/>
    <w:next w:val="COTCOCLV4-ASDEFCON"/>
    <w:rsid w:val="00AF0542"/>
    <w:pPr>
      <w:numPr>
        <w:ilvl w:val="0"/>
        <w:numId w:val="0"/>
      </w:numPr>
      <w:ind w:left="1418"/>
    </w:pPr>
    <w:rPr>
      <w:szCs w:val="20"/>
    </w:rPr>
  </w:style>
  <w:style w:type="paragraph" w:customStyle="1" w:styleId="COTCOCLV5NONUM-ASDEFCON">
    <w:name w:val="COT/COC LV5 NONUM - ASDEFCON"/>
    <w:basedOn w:val="COTCOCLV5-ASDEFCON"/>
    <w:next w:val="COTCOCLV5-ASDEFCON"/>
    <w:rsid w:val="00AF0542"/>
    <w:pPr>
      <w:numPr>
        <w:ilvl w:val="0"/>
        <w:numId w:val="0"/>
      </w:numPr>
      <w:ind w:left="1985"/>
    </w:pPr>
    <w:rPr>
      <w:szCs w:val="20"/>
    </w:rPr>
  </w:style>
  <w:style w:type="paragraph" w:customStyle="1" w:styleId="COTCOCLV6NONUM-ASDEFCON">
    <w:name w:val="COT/COC LV6 NONUM - ASDEFCON"/>
    <w:basedOn w:val="COTCOCLV6-ASDEFCON"/>
    <w:next w:val="COTCOCLV6-ASDEFCON"/>
    <w:rsid w:val="00AF0542"/>
    <w:pPr>
      <w:numPr>
        <w:ilvl w:val="0"/>
        <w:numId w:val="0"/>
      </w:numPr>
      <w:ind w:left="2552"/>
    </w:pPr>
    <w:rPr>
      <w:szCs w:val="20"/>
    </w:rPr>
  </w:style>
  <w:style w:type="paragraph" w:customStyle="1" w:styleId="ATTANNLV1NONUM-ASDEFCON">
    <w:name w:val="ATT/ANN LV1 NONUM - ASDEFCON"/>
    <w:basedOn w:val="ATTANNLV1-ASDEFCON"/>
    <w:next w:val="ATTANNLV2-ASDEFCON"/>
    <w:rsid w:val="00AF0542"/>
    <w:pPr>
      <w:numPr>
        <w:numId w:val="0"/>
      </w:numPr>
      <w:ind w:left="851"/>
    </w:pPr>
    <w:rPr>
      <w:bCs/>
      <w:szCs w:val="20"/>
    </w:rPr>
  </w:style>
  <w:style w:type="paragraph" w:customStyle="1" w:styleId="ATTANNLV2NONUM-ASDEFCON">
    <w:name w:val="ATT/ANN LV2 NONUM - ASDEFCON"/>
    <w:basedOn w:val="ATTANNLV2-ASDEFCON"/>
    <w:next w:val="ATTANNLV2-ASDEFCON"/>
    <w:rsid w:val="00AF0542"/>
    <w:pPr>
      <w:numPr>
        <w:ilvl w:val="0"/>
        <w:numId w:val="0"/>
      </w:numPr>
      <w:ind w:left="851"/>
    </w:pPr>
    <w:rPr>
      <w:szCs w:val="20"/>
    </w:rPr>
  </w:style>
  <w:style w:type="paragraph" w:customStyle="1" w:styleId="ATTANNLV3NONUM-ASDEFCON">
    <w:name w:val="ATT/ANN LV3 NONUM - ASDEFCON"/>
    <w:basedOn w:val="ATTANNLV3-ASDEFCON"/>
    <w:next w:val="ATTANNLV3-ASDEFCON"/>
    <w:rsid w:val="00AF0542"/>
    <w:pPr>
      <w:numPr>
        <w:ilvl w:val="0"/>
        <w:numId w:val="0"/>
      </w:numPr>
      <w:ind w:left="1418"/>
    </w:pPr>
    <w:rPr>
      <w:szCs w:val="20"/>
    </w:rPr>
  </w:style>
  <w:style w:type="paragraph" w:customStyle="1" w:styleId="ATTANNLV4NONUM-ASDEFCON">
    <w:name w:val="ATT/ANN LV4 NONUM - ASDEFCON"/>
    <w:basedOn w:val="ATTANNLV4-ASDEFCON"/>
    <w:next w:val="ATTANNLV4-ASDEFCON"/>
    <w:rsid w:val="00AF0542"/>
    <w:pPr>
      <w:numPr>
        <w:ilvl w:val="0"/>
        <w:numId w:val="0"/>
      </w:numPr>
      <w:ind w:left="1985"/>
    </w:pPr>
    <w:rPr>
      <w:szCs w:val="20"/>
    </w:rPr>
  </w:style>
  <w:style w:type="paragraph" w:customStyle="1" w:styleId="NoteToDraftersBullets-ASDEFCON">
    <w:name w:val="Note To Drafters Bullets - ASDEFCON"/>
    <w:basedOn w:val="NoteToDrafters-ASDEFCON"/>
    <w:rsid w:val="00AF0542"/>
    <w:pPr>
      <w:numPr>
        <w:numId w:val="5"/>
      </w:numPr>
    </w:pPr>
    <w:rPr>
      <w:bCs/>
      <w:iCs/>
      <w:szCs w:val="20"/>
    </w:rPr>
  </w:style>
  <w:style w:type="paragraph" w:customStyle="1" w:styleId="NoteToDraftersList-ASDEFCON">
    <w:name w:val="Note To Drafters List - ASDEFCON"/>
    <w:basedOn w:val="NoteToDrafters-ASDEFCON"/>
    <w:rsid w:val="00AF0542"/>
    <w:pPr>
      <w:numPr>
        <w:numId w:val="6"/>
      </w:numPr>
    </w:pPr>
    <w:rPr>
      <w:bCs/>
      <w:iCs/>
      <w:szCs w:val="20"/>
    </w:rPr>
  </w:style>
  <w:style w:type="paragraph" w:customStyle="1" w:styleId="NoteToTenderersBullets-ASDEFCON">
    <w:name w:val="Note To Tenderers Bullets - ASDEFCON"/>
    <w:basedOn w:val="NoteToTenderers-ASDEFCON"/>
    <w:rsid w:val="00AF0542"/>
    <w:pPr>
      <w:numPr>
        <w:numId w:val="7"/>
      </w:numPr>
    </w:pPr>
    <w:rPr>
      <w:bCs/>
      <w:iCs/>
      <w:szCs w:val="20"/>
    </w:rPr>
  </w:style>
  <w:style w:type="paragraph" w:customStyle="1" w:styleId="NoteToTenderersList-ASDEFCON">
    <w:name w:val="Note To Tenderers List - ASDEFCON"/>
    <w:basedOn w:val="NoteToTenderers-ASDEFCON"/>
    <w:rsid w:val="00AF0542"/>
    <w:pPr>
      <w:numPr>
        <w:numId w:val="8"/>
      </w:numPr>
    </w:pPr>
    <w:rPr>
      <w:bCs/>
      <w:iCs/>
      <w:szCs w:val="20"/>
    </w:rPr>
  </w:style>
  <w:style w:type="paragraph" w:customStyle="1" w:styleId="SOWHL1-ASDEFCON">
    <w:name w:val="SOW HL1 - ASDEFCON"/>
    <w:basedOn w:val="ASDEFCONNormal"/>
    <w:next w:val="SOWHL2-ASDEFCON"/>
    <w:qFormat/>
    <w:rsid w:val="00AF0542"/>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F0542"/>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F0542"/>
    <w:pPr>
      <w:keepNext/>
      <w:numPr>
        <w:ilvl w:val="2"/>
        <w:numId w:val="2"/>
      </w:numPr>
    </w:pPr>
    <w:rPr>
      <w:rFonts w:eastAsia="Calibri"/>
      <w:b/>
      <w:szCs w:val="22"/>
      <w:lang w:eastAsia="en-US"/>
    </w:rPr>
  </w:style>
  <w:style w:type="paragraph" w:customStyle="1" w:styleId="SOWHL4-ASDEFCON">
    <w:name w:val="SOW HL4 - ASDEFCON"/>
    <w:basedOn w:val="ASDEFCONNormal"/>
    <w:qFormat/>
    <w:rsid w:val="00AF0542"/>
    <w:pPr>
      <w:keepNext/>
      <w:numPr>
        <w:ilvl w:val="3"/>
        <w:numId w:val="2"/>
      </w:numPr>
    </w:pPr>
    <w:rPr>
      <w:rFonts w:eastAsia="Calibri"/>
      <w:b/>
      <w:szCs w:val="22"/>
      <w:lang w:eastAsia="en-US"/>
    </w:rPr>
  </w:style>
  <w:style w:type="paragraph" w:customStyle="1" w:styleId="SOWHL5-ASDEFCON">
    <w:name w:val="SOW HL5 - ASDEFCON"/>
    <w:basedOn w:val="ASDEFCONNormal"/>
    <w:qFormat/>
    <w:rsid w:val="00AF0542"/>
    <w:pPr>
      <w:keepNext/>
      <w:numPr>
        <w:ilvl w:val="4"/>
        <w:numId w:val="2"/>
      </w:numPr>
    </w:pPr>
    <w:rPr>
      <w:rFonts w:eastAsia="Calibri"/>
      <w:b/>
      <w:szCs w:val="22"/>
      <w:lang w:eastAsia="en-US"/>
    </w:rPr>
  </w:style>
  <w:style w:type="paragraph" w:customStyle="1" w:styleId="SOWSubL1-ASDEFCON">
    <w:name w:val="SOW SubL1 - ASDEFCON"/>
    <w:basedOn w:val="ASDEFCONNormal"/>
    <w:qFormat/>
    <w:rsid w:val="00AF0542"/>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AF054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F0542"/>
    <w:pPr>
      <w:numPr>
        <w:ilvl w:val="0"/>
        <w:numId w:val="0"/>
      </w:numPr>
      <w:ind w:left="1134"/>
    </w:pPr>
    <w:rPr>
      <w:rFonts w:eastAsia="Times New Roman"/>
      <w:bCs/>
      <w:szCs w:val="20"/>
    </w:rPr>
  </w:style>
  <w:style w:type="paragraph" w:customStyle="1" w:styleId="SOWTL2-ASDEFCON">
    <w:name w:val="SOW TL2 - ASDEFCON"/>
    <w:basedOn w:val="SOWHL2-ASDEFCON"/>
    <w:rsid w:val="00AF0542"/>
    <w:pPr>
      <w:keepNext w:val="0"/>
      <w:pBdr>
        <w:bottom w:val="none" w:sz="0" w:space="0" w:color="auto"/>
      </w:pBdr>
    </w:pPr>
    <w:rPr>
      <w:b w:val="0"/>
    </w:rPr>
  </w:style>
  <w:style w:type="paragraph" w:customStyle="1" w:styleId="SOWTL3NONUM-ASDEFCON">
    <w:name w:val="SOW TL3 NONUM - ASDEFCON"/>
    <w:basedOn w:val="SOWTL3-ASDEFCON"/>
    <w:next w:val="SOWTL3-ASDEFCON"/>
    <w:rsid w:val="00AF0542"/>
    <w:pPr>
      <w:numPr>
        <w:ilvl w:val="0"/>
        <w:numId w:val="0"/>
      </w:numPr>
      <w:ind w:left="1134"/>
    </w:pPr>
    <w:rPr>
      <w:rFonts w:eastAsia="Times New Roman"/>
      <w:bCs/>
      <w:szCs w:val="20"/>
    </w:rPr>
  </w:style>
  <w:style w:type="paragraph" w:customStyle="1" w:styleId="SOWTL3-ASDEFCON">
    <w:name w:val="SOW TL3 - ASDEFCON"/>
    <w:basedOn w:val="SOWHL3-ASDEFCON"/>
    <w:rsid w:val="00AF0542"/>
    <w:pPr>
      <w:keepNext w:val="0"/>
    </w:pPr>
    <w:rPr>
      <w:b w:val="0"/>
    </w:rPr>
  </w:style>
  <w:style w:type="paragraph" w:customStyle="1" w:styleId="SOWTL4NONUM-ASDEFCON">
    <w:name w:val="SOW TL4 NONUM - ASDEFCON"/>
    <w:basedOn w:val="SOWTL4-ASDEFCON"/>
    <w:next w:val="SOWTL4-ASDEFCON"/>
    <w:rsid w:val="00AF0542"/>
    <w:pPr>
      <w:numPr>
        <w:ilvl w:val="0"/>
        <w:numId w:val="0"/>
      </w:numPr>
      <w:ind w:left="1134"/>
    </w:pPr>
    <w:rPr>
      <w:rFonts w:eastAsia="Times New Roman"/>
      <w:bCs/>
      <w:szCs w:val="20"/>
    </w:rPr>
  </w:style>
  <w:style w:type="paragraph" w:customStyle="1" w:styleId="SOWTL4-ASDEFCON">
    <w:name w:val="SOW TL4 - ASDEFCON"/>
    <w:basedOn w:val="SOWHL4-ASDEFCON"/>
    <w:rsid w:val="00AF0542"/>
    <w:pPr>
      <w:keepNext w:val="0"/>
    </w:pPr>
    <w:rPr>
      <w:b w:val="0"/>
    </w:rPr>
  </w:style>
  <w:style w:type="paragraph" w:customStyle="1" w:styleId="SOWTL5NONUM-ASDEFCON">
    <w:name w:val="SOW TL5 NONUM - ASDEFCON"/>
    <w:basedOn w:val="SOWHL5-ASDEFCON"/>
    <w:next w:val="SOWTL5-ASDEFCON"/>
    <w:rsid w:val="00AF0542"/>
    <w:pPr>
      <w:keepNext w:val="0"/>
      <w:numPr>
        <w:ilvl w:val="0"/>
        <w:numId w:val="0"/>
      </w:numPr>
      <w:ind w:left="1134"/>
    </w:pPr>
    <w:rPr>
      <w:b w:val="0"/>
    </w:rPr>
  </w:style>
  <w:style w:type="paragraph" w:customStyle="1" w:styleId="SOWTL5-ASDEFCON">
    <w:name w:val="SOW TL5 - ASDEFCON"/>
    <w:basedOn w:val="SOWHL5-ASDEFCON"/>
    <w:rsid w:val="00AF0542"/>
    <w:pPr>
      <w:keepNext w:val="0"/>
    </w:pPr>
    <w:rPr>
      <w:b w:val="0"/>
    </w:rPr>
  </w:style>
  <w:style w:type="paragraph" w:customStyle="1" w:styleId="SOWSubL2-ASDEFCON">
    <w:name w:val="SOW SubL2 - ASDEFCON"/>
    <w:basedOn w:val="ASDEFCONNormal"/>
    <w:qFormat/>
    <w:rsid w:val="00AF0542"/>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AF0542"/>
    <w:pPr>
      <w:numPr>
        <w:numId w:val="0"/>
      </w:numPr>
      <w:ind w:left="1701"/>
    </w:pPr>
  </w:style>
  <w:style w:type="paragraph" w:customStyle="1" w:styleId="SOWSubL2NONUM-ASDEFCON">
    <w:name w:val="SOW SubL2 NONUM - ASDEFCON"/>
    <w:basedOn w:val="SOWSubL2-ASDEFCON"/>
    <w:next w:val="SOWSubL2-ASDEFCON"/>
    <w:qFormat/>
    <w:rsid w:val="00AF0542"/>
    <w:pPr>
      <w:numPr>
        <w:ilvl w:val="0"/>
        <w:numId w:val="0"/>
      </w:numPr>
      <w:ind w:left="2268"/>
    </w:pPr>
  </w:style>
  <w:style w:type="paragraph" w:styleId="FootnoteText">
    <w:name w:val="footnote text"/>
    <w:basedOn w:val="Normal"/>
    <w:link w:val="FootnoteTextChar"/>
    <w:semiHidden/>
    <w:rsid w:val="00AF0542"/>
    <w:rPr>
      <w:szCs w:val="20"/>
    </w:rPr>
  </w:style>
  <w:style w:type="character" w:customStyle="1" w:styleId="FootnoteTextChar">
    <w:name w:val="Footnote Text Char"/>
    <w:link w:val="FootnoteText"/>
    <w:semiHidden/>
    <w:rsid w:val="00925EB7"/>
    <w:rPr>
      <w:rFonts w:ascii="Arial" w:hAnsi="Arial"/>
    </w:rPr>
  </w:style>
  <w:style w:type="paragraph" w:customStyle="1" w:styleId="ASDEFCONTextBlock">
    <w:name w:val="ASDEFCON TextBlock"/>
    <w:basedOn w:val="ASDEFCONNormal"/>
    <w:qFormat/>
    <w:rsid w:val="00AF054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F0542"/>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F0542"/>
    <w:pPr>
      <w:keepNext/>
      <w:spacing w:before="240"/>
    </w:pPr>
    <w:rPr>
      <w:rFonts w:ascii="Arial Bold" w:hAnsi="Arial Bold"/>
      <w:b/>
      <w:bCs/>
      <w:caps/>
      <w:szCs w:val="20"/>
    </w:rPr>
  </w:style>
  <w:style w:type="paragraph" w:customStyle="1" w:styleId="Table8ptHeading-ASDEFCON">
    <w:name w:val="Table 8pt Heading - ASDEFCON"/>
    <w:basedOn w:val="ASDEFCONNormal"/>
    <w:rsid w:val="00AF054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F0542"/>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F0542"/>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F0542"/>
    <w:rPr>
      <w:rFonts w:ascii="Arial" w:eastAsia="Calibri" w:hAnsi="Arial"/>
      <w:color w:val="000000"/>
      <w:szCs w:val="22"/>
      <w:lang w:eastAsia="en-US"/>
    </w:rPr>
  </w:style>
  <w:style w:type="paragraph" w:customStyle="1" w:styleId="Table8ptSub1-ASDEFCON">
    <w:name w:val="Table 8pt Sub1 - ASDEFCON"/>
    <w:basedOn w:val="Table8ptText-ASDEFCON"/>
    <w:rsid w:val="00AF0542"/>
    <w:pPr>
      <w:numPr>
        <w:ilvl w:val="1"/>
      </w:numPr>
    </w:pPr>
  </w:style>
  <w:style w:type="paragraph" w:customStyle="1" w:styleId="Table8ptSub2-ASDEFCON">
    <w:name w:val="Table 8pt Sub2 - ASDEFCON"/>
    <w:basedOn w:val="Table8ptText-ASDEFCON"/>
    <w:rsid w:val="00AF0542"/>
    <w:pPr>
      <w:numPr>
        <w:ilvl w:val="2"/>
      </w:numPr>
    </w:pPr>
  </w:style>
  <w:style w:type="paragraph" w:customStyle="1" w:styleId="Table10ptHeading-ASDEFCON">
    <w:name w:val="Table 10pt Heading - ASDEFCON"/>
    <w:basedOn w:val="ASDEFCONNormal"/>
    <w:rsid w:val="00AF0542"/>
    <w:pPr>
      <w:keepNext/>
      <w:spacing w:before="60" w:after="60"/>
      <w:jc w:val="center"/>
    </w:pPr>
    <w:rPr>
      <w:b/>
    </w:rPr>
  </w:style>
  <w:style w:type="paragraph" w:customStyle="1" w:styleId="Table8ptBP1-ASDEFCON">
    <w:name w:val="Table 8pt BP1 - ASDEFCON"/>
    <w:basedOn w:val="Table8ptText-ASDEFCON"/>
    <w:rsid w:val="00AF0542"/>
    <w:pPr>
      <w:numPr>
        <w:numId w:val="11"/>
      </w:numPr>
    </w:pPr>
  </w:style>
  <w:style w:type="paragraph" w:customStyle="1" w:styleId="Table8ptBP2-ASDEFCON">
    <w:name w:val="Table 8pt BP2 - ASDEFCON"/>
    <w:basedOn w:val="Table8ptText-ASDEFCON"/>
    <w:rsid w:val="00AF0542"/>
    <w:pPr>
      <w:numPr>
        <w:ilvl w:val="1"/>
        <w:numId w:val="11"/>
      </w:numPr>
      <w:tabs>
        <w:tab w:val="clear" w:pos="284"/>
      </w:tabs>
    </w:pPr>
    <w:rPr>
      <w:iCs/>
    </w:rPr>
  </w:style>
  <w:style w:type="paragraph" w:customStyle="1" w:styleId="ASDEFCONBulletsLV1">
    <w:name w:val="ASDEFCON Bullets LV1"/>
    <w:basedOn w:val="ASDEFCONNormal"/>
    <w:rsid w:val="00AF0542"/>
    <w:pPr>
      <w:numPr>
        <w:numId w:val="13"/>
      </w:numPr>
    </w:pPr>
    <w:rPr>
      <w:rFonts w:eastAsia="Calibri"/>
      <w:szCs w:val="22"/>
      <w:lang w:eastAsia="en-US"/>
    </w:rPr>
  </w:style>
  <w:style w:type="paragraph" w:customStyle="1" w:styleId="Table10ptSub1-ASDEFCON">
    <w:name w:val="Table 10pt Sub1 - ASDEFCON"/>
    <w:basedOn w:val="Table10ptText-ASDEFCON"/>
    <w:rsid w:val="00AF0542"/>
    <w:pPr>
      <w:numPr>
        <w:ilvl w:val="1"/>
      </w:numPr>
      <w:jc w:val="both"/>
    </w:pPr>
  </w:style>
  <w:style w:type="paragraph" w:customStyle="1" w:styleId="Table10ptSub2-ASDEFCON">
    <w:name w:val="Table 10pt Sub2 - ASDEFCON"/>
    <w:basedOn w:val="Table10ptText-ASDEFCON"/>
    <w:rsid w:val="00AF0542"/>
    <w:pPr>
      <w:numPr>
        <w:ilvl w:val="2"/>
      </w:numPr>
      <w:jc w:val="both"/>
    </w:pPr>
  </w:style>
  <w:style w:type="paragraph" w:customStyle="1" w:styleId="ASDEFCONBulletsLV2">
    <w:name w:val="ASDEFCON Bullets LV2"/>
    <w:basedOn w:val="ASDEFCONNormal"/>
    <w:rsid w:val="00AF0542"/>
    <w:pPr>
      <w:numPr>
        <w:numId w:val="1"/>
      </w:numPr>
    </w:pPr>
  </w:style>
  <w:style w:type="paragraph" w:customStyle="1" w:styleId="Table10ptBP1-ASDEFCON">
    <w:name w:val="Table 10pt BP1 - ASDEFCON"/>
    <w:basedOn w:val="ASDEFCONNormal"/>
    <w:rsid w:val="00AF0542"/>
    <w:pPr>
      <w:numPr>
        <w:numId w:val="17"/>
      </w:numPr>
      <w:spacing w:before="60" w:after="60"/>
    </w:pPr>
  </w:style>
  <w:style w:type="paragraph" w:customStyle="1" w:styleId="Table10ptBP2-ASDEFCON">
    <w:name w:val="Table 10pt BP2 - ASDEFCON"/>
    <w:basedOn w:val="ASDEFCONNormal"/>
    <w:link w:val="Table10ptBP2-ASDEFCONCharChar"/>
    <w:rsid w:val="00AF0542"/>
    <w:pPr>
      <w:numPr>
        <w:ilvl w:val="1"/>
        <w:numId w:val="17"/>
      </w:numPr>
      <w:spacing w:before="60" w:after="60"/>
    </w:pPr>
  </w:style>
  <w:style w:type="character" w:customStyle="1" w:styleId="Table10ptBP2-ASDEFCONCharChar">
    <w:name w:val="Table 10pt BP2 - ASDEFCON Char Char"/>
    <w:link w:val="Table10ptBP2-ASDEFCON"/>
    <w:rsid w:val="00AF0542"/>
    <w:rPr>
      <w:rFonts w:ascii="Arial" w:hAnsi="Arial"/>
      <w:color w:val="000000"/>
      <w:szCs w:val="40"/>
    </w:rPr>
  </w:style>
  <w:style w:type="paragraph" w:customStyle="1" w:styleId="GuideMarginHead-ASDEFCON">
    <w:name w:val="Guide Margin Head - ASDEFCON"/>
    <w:basedOn w:val="ASDEFCONNormal"/>
    <w:rsid w:val="00AF054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F0542"/>
    <w:pPr>
      <w:ind w:left="1680"/>
    </w:pPr>
    <w:rPr>
      <w:lang w:eastAsia="en-US"/>
    </w:rPr>
  </w:style>
  <w:style w:type="paragraph" w:customStyle="1" w:styleId="GuideSublistLv1-ASDEFCON">
    <w:name w:val="Guide Sublist Lv1 - ASDEFCON"/>
    <w:basedOn w:val="ASDEFCONNormal"/>
    <w:qFormat/>
    <w:rsid w:val="00AF0542"/>
    <w:pPr>
      <w:numPr>
        <w:numId w:val="21"/>
      </w:numPr>
    </w:pPr>
    <w:rPr>
      <w:rFonts w:eastAsia="Calibri"/>
      <w:szCs w:val="22"/>
      <w:lang w:eastAsia="en-US"/>
    </w:rPr>
  </w:style>
  <w:style w:type="paragraph" w:customStyle="1" w:styleId="GuideBullets-ASDEFCON">
    <w:name w:val="Guide Bullets - ASDEFCON"/>
    <w:basedOn w:val="ASDEFCONNormal"/>
    <w:rsid w:val="00AF0542"/>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AF054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F0542"/>
    <w:pPr>
      <w:keepNext/>
      <w:spacing w:before="240"/>
    </w:pPr>
    <w:rPr>
      <w:rFonts w:eastAsia="Calibri"/>
      <w:b/>
      <w:caps/>
      <w:szCs w:val="20"/>
      <w:lang w:eastAsia="en-US"/>
    </w:rPr>
  </w:style>
  <w:style w:type="paragraph" w:customStyle="1" w:styleId="ASDEFCONSublist">
    <w:name w:val="ASDEFCON Sublist"/>
    <w:basedOn w:val="ASDEFCONNormal"/>
    <w:rsid w:val="00AF0542"/>
    <w:pPr>
      <w:numPr>
        <w:numId w:val="22"/>
      </w:numPr>
    </w:pPr>
    <w:rPr>
      <w:iCs/>
    </w:rPr>
  </w:style>
  <w:style w:type="paragraph" w:customStyle="1" w:styleId="ASDEFCONRecitals">
    <w:name w:val="ASDEFCON Recitals"/>
    <w:basedOn w:val="ASDEFCONNormal"/>
    <w:link w:val="ASDEFCONRecitalsCharChar"/>
    <w:rsid w:val="00AF0542"/>
    <w:pPr>
      <w:numPr>
        <w:numId w:val="14"/>
      </w:numPr>
    </w:pPr>
  </w:style>
  <w:style w:type="character" w:customStyle="1" w:styleId="ASDEFCONRecitalsCharChar">
    <w:name w:val="ASDEFCON Recitals Char Char"/>
    <w:link w:val="ASDEFCONRecitals"/>
    <w:rsid w:val="00AF0542"/>
    <w:rPr>
      <w:rFonts w:ascii="Arial" w:hAnsi="Arial"/>
      <w:color w:val="000000"/>
      <w:szCs w:val="40"/>
    </w:rPr>
  </w:style>
  <w:style w:type="paragraph" w:customStyle="1" w:styleId="NoteList-ASDEFCON">
    <w:name w:val="Note List - ASDEFCON"/>
    <w:basedOn w:val="ASDEFCONNormal"/>
    <w:rsid w:val="00AF0542"/>
    <w:pPr>
      <w:numPr>
        <w:numId w:val="15"/>
      </w:numPr>
    </w:pPr>
    <w:rPr>
      <w:b/>
      <w:bCs/>
      <w:i/>
    </w:rPr>
  </w:style>
  <w:style w:type="paragraph" w:customStyle="1" w:styleId="NoteBullets-ASDEFCON">
    <w:name w:val="Note Bullets - ASDEFCON"/>
    <w:basedOn w:val="ASDEFCONNormal"/>
    <w:rsid w:val="00AF0542"/>
    <w:pPr>
      <w:numPr>
        <w:numId w:val="16"/>
      </w:numPr>
    </w:pPr>
    <w:rPr>
      <w:b/>
      <w:i/>
    </w:rPr>
  </w:style>
  <w:style w:type="paragraph" w:styleId="Caption">
    <w:name w:val="caption"/>
    <w:basedOn w:val="Normal"/>
    <w:next w:val="Normal"/>
    <w:qFormat/>
    <w:rsid w:val="00AF0542"/>
    <w:rPr>
      <w:b/>
      <w:bCs/>
      <w:szCs w:val="20"/>
    </w:rPr>
  </w:style>
  <w:style w:type="paragraph" w:customStyle="1" w:styleId="ASDEFCONOperativePartListLV1">
    <w:name w:val="ASDEFCON Operative Part List LV1"/>
    <w:basedOn w:val="ASDEFCONNormal"/>
    <w:rsid w:val="00AF0542"/>
    <w:pPr>
      <w:numPr>
        <w:numId w:val="18"/>
      </w:numPr>
    </w:pPr>
    <w:rPr>
      <w:iCs/>
    </w:rPr>
  </w:style>
  <w:style w:type="paragraph" w:customStyle="1" w:styleId="ASDEFCONOperativePartListLV2">
    <w:name w:val="ASDEFCON Operative Part List LV2"/>
    <w:basedOn w:val="ASDEFCONOperativePartListLV1"/>
    <w:rsid w:val="00AF0542"/>
    <w:pPr>
      <w:numPr>
        <w:ilvl w:val="1"/>
      </w:numPr>
    </w:pPr>
  </w:style>
  <w:style w:type="paragraph" w:customStyle="1" w:styleId="ASDEFCONOptionSpace">
    <w:name w:val="ASDEFCON Option Space"/>
    <w:basedOn w:val="ASDEFCONNormal"/>
    <w:rsid w:val="00AF0542"/>
    <w:pPr>
      <w:spacing w:after="0"/>
    </w:pPr>
    <w:rPr>
      <w:bCs/>
      <w:color w:val="FFFFFF"/>
      <w:sz w:val="8"/>
    </w:rPr>
  </w:style>
  <w:style w:type="paragraph" w:customStyle="1" w:styleId="ATTANNReferencetoCOC">
    <w:name w:val="ATT/ANN Reference to COC"/>
    <w:basedOn w:val="ASDEFCONNormal"/>
    <w:rsid w:val="00AF0542"/>
    <w:pPr>
      <w:keepNext/>
      <w:jc w:val="right"/>
    </w:pPr>
    <w:rPr>
      <w:i/>
      <w:iCs/>
      <w:szCs w:val="20"/>
    </w:rPr>
  </w:style>
  <w:style w:type="paragraph" w:customStyle="1" w:styleId="ASDEFCONHeaderFooterCenter">
    <w:name w:val="ASDEFCON Header/Footer Center"/>
    <w:basedOn w:val="ASDEFCONHeaderFooterLeft"/>
    <w:rsid w:val="00AF0542"/>
    <w:pPr>
      <w:jc w:val="center"/>
    </w:pPr>
    <w:rPr>
      <w:szCs w:val="20"/>
    </w:rPr>
  </w:style>
  <w:style w:type="paragraph" w:customStyle="1" w:styleId="ASDEFCONHeaderFooterRight">
    <w:name w:val="ASDEFCON Header/Footer Right"/>
    <w:basedOn w:val="ASDEFCONHeaderFooterLeft"/>
    <w:rsid w:val="00AF0542"/>
    <w:pPr>
      <w:jc w:val="right"/>
    </w:pPr>
    <w:rPr>
      <w:szCs w:val="20"/>
    </w:rPr>
  </w:style>
  <w:style w:type="paragraph" w:customStyle="1" w:styleId="ASDEFCONHeaderFooterClassification">
    <w:name w:val="ASDEFCON Header/Footer Classification"/>
    <w:basedOn w:val="ASDEFCONHeaderFooterLeft"/>
    <w:rsid w:val="00AF0542"/>
    <w:pPr>
      <w:jc w:val="center"/>
    </w:pPr>
    <w:rPr>
      <w:rFonts w:ascii="Arial Bold" w:hAnsi="Arial Bold"/>
      <w:b/>
      <w:bCs/>
      <w:caps/>
      <w:sz w:val="20"/>
    </w:rPr>
  </w:style>
  <w:style w:type="paragraph" w:customStyle="1" w:styleId="GuideLV3Head-ASDEFCON">
    <w:name w:val="Guide LV3 Head - ASDEFCON"/>
    <w:basedOn w:val="ASDEFCONNormal"/>
    <w:rsid w:val="00AF0542"/>
    <w:pPr>
      <w:keepNext/>
    </w:pPr>
    <w:rPr>
      <w:rFonts w:eastAsia="Calibri"/>
      <w:b/>
      <w:szCs w:val="22"/>
      <w:lang w:eastAsia="en-US"/>
    </w:rPr>
  </w:style>
  <w:style w:type="paragraph" w:customStyle="1" w:styleId="GuideSublistLv2-ASDEFCON">
    <w:name w:val="Guide Sublist Lv2 - ASDEFCON"/>
    <w:basedOn w:val="ASDEFCONNormal"/>
    <w:rsid w:val="00AF0542"/>
    <w:pPr>
      <w:numPr>
        <w:ilvl w:val="1"/>
        <w:numId w:val="21"/>
      </w:numPr>
    </w:pPr>
  </w:style>
  <w:style w:type="character" w:styleId="PageNumber">
    <w:name w:val="page number"/>
    <w:basedOn w:val="DefaultParagraphFont"/>
    <w:rsid w:val="00743DDE"/>
  </w:style>
  <w:style w:type="character" w:customStyle="1" w:styleId="BalloonTextChar">
    <w:name w:val="Balloon Text Char"/>
    <w:rsid w:val="00AB6502"/>
    <w:rPr>
      <w:rFonts w:ascii="Tahoma" w:hAnsi="Tahoma" w:cs="Tahoma"/>
      <w:sz w:val="16"/>
      <w:szCs w:val="16"/>
    </w:rPr>
  </w:style>
  <w:style w:type="character" w:customStyle="1" w:styleId="BalloonTextChar1">
    <w:name w:val="Balloon Text Char1"/>
    <w:link w:val="BalloonText"/>
    <w:rsid w:val="00AB6502"/>
    <w:rPr>
      <w:rFonts w:ascii="Calibri" w:hAnsi="Calibri"/>
      <w:sz w:val="18"/>
    </w:rPr>
  </w:style>
  <w:style w:type="character" w:customStyle="1" w:styleId="Heading5Char">
    <w:name w:val="Heading 5 Char"/>
    <w:aliases w:val="Para5 Char,i. Char"/>
    <w:link w:val="Heading5"/>
    <w:rsid w:val="0034061F"/>
    <w:rPr>
      <w:rFonts w:ascii="Arial" w:hAnsi="Arial"/>
      <w:sz w:val="22"/>
      <w:szCs w:val="24"/>
    </w:rPr>
  </w:style>
  <w:style w:type="character" w:customStyle="1" w:styleId="Heading6Char">
    <w:name w:val="Heading 6 Char"/>
    <w:aliases w:val="A. Char"/>
    <w:link w:val="Heading6"/>
    <w:rsid w:val="0034061F"/>
    <w:rPr>
      <w:rFonts w:ascii="Arial" w:hAnsi="Arial"/>
      <w:i/>
      <w:sz w:val="22"/>
      <w:szCs w:val="24"/>
    </w:rPr>
  </w:style>
  <w:style w:type="character" w:customStyle="1" w:styleId="Heading7Char">
    <w:name w:val="Heading 7 Char"/>
    <w:aliases w:val="(i) Char"/>
    <w:link w:val="Heading7"/>
    <w:rsid w:val="0034061F"/>
    <w:rPr>
      <w:rFonts w:ascii="Arial" w:hAnsi="Arial"/>
      <w:szCs w:val="24"/>
    </w:rPr>
  </w:style>
  <w:style w:type="character" w:customStyle="1" w:styleId="Heading8Char">
    <w:name w:val="Heading 8 Char"/>
    <w:aliases w:val="(A) Char"/>
    <w:link w:val="Heading8"/>
    <w:rsid w:val="0034061F"/>
    <w:rPr>
      <w:rFonts w:ascii="Arial" w:hAnsi="Arial"/>
      <w:i/>
      <w:szCs w:val="24"/>
    </w:rPr>
  </w:style>
  <w:style w:type="character" w:customStyle="1" w:styleId="Heading9Char">
    <w:name w:val="Heading 9 Char"/>
    <w:aliases w:val="I Char"/>
    <w:link w:val="Heading9"/>
    <w:rsid w:val="0034061F"/>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AF0542"/>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1) Char"/>
    <w:link w:val="Heading3"/>
    <w:uiPriority w:val="9"/>
    <w:rsid w:val="00CC5897"/>
    <w:rPr>
      <w:rFonts w:ascii="Arial" w:hAnsi="Arial"/>
      <w:b/>
      <w:bCs/>
      <w:i/>
      <w:color w:val="CF4520"/>
      <w:sz w:val="24"/>
      <w:szCs w:val="24"/>
    </w:rPr>
  </w:style>
  <w:style w:type="character" w:customStyle="1" w:styleId="Heading4Char">
    <w:name w:val="Heading 4 Char"/>
    <w:aliases w:val="Para4 Char,(a) Char"/>
    <w:link w:val="Heading4"/>
    <w:uiPriority w:val="9"/>
    <w:rsid w:val="00CC5897"/>
    <w:rPr>
      <w:rFonts w:ascii="Arial" w:hAnsi="Arial"/>
      <w:b/>
      <w:bCs/>
      <w:i/>
      <w:iCs/>
      <w:szCs w:val="24"/>
    </w:rPr>
  </w:style>
  <w:style w:type="character" w:styleId="Hyperlink">
    <w:name w:val="Hyperlink"/>
    <w:uiPriority w:val="99"/>
    <w:unhideWhenUsed/>
    <w:rsid w:val="00AF0542"/>
    <w:rPr>
      <w:color w:val="0000FF"/>
      <w:u w:val="single"/>
    </w:rPr>
  </w:style>
  <w:style w:type="paragraph" w:styleId="TOC4">
    <w:name w:val="toc 4"/>
    <w:basedOn w:val="Normal"/>
    <w:next w:val="Normal"/>
    <w:autoRedefine/>
    <w:rsid w:val="00AF0542"/>
    <w:pPr>
      <w:spacing w:after="100"/>
      <w:ind w:left="600"/>
    </w:pPr>
  </w:style>
  <w:style w:type="paragraph" w:styleId="TOC5">
    <w:name w:val="toc 5"/>
    <w:basedOn w:val="Normal"/>
    <w:next w:val="Normal"/>
    <w:autoRedefine/>
    <w:rsid w:val="00AF0542"/>
    <w:pPr>
      <w:spacing w:after="100"/>
      <w:ind w:left="800"/>
    </w:pPr>
  </w:style>
  <w:style w:type="paragraph" w:styleId="TOC6">
    <w:name w:val="toc 6"/>
    <w:basedOn w:val="Normal"/>
    <w:next w:val="Normal"/>
    <w:autoRedefine/>
    <w:rsid w:val="00AF0542"/>
    <w:pPr>
      <w:spacing w:after="100"/>
      <w:ind w:left="1000"/>
    </w:pPr>
  </w:style>
  <w:style w:type="paragraph" w:styleId="TOC7">
    <w:name w:val="toc 7"/>
    <w:basedOn w:val="Normal"/>
    <w:next w:val="Normal"/>
    <w:autoRedefine/>
    <w:rsid w:val="00AF0542"/>
    <w:pPr>
      <w:spacing w:after="100"/>
      <w:ind w:left="1200"/>
    </w:pPr>
  </w:style>
  <w:style w:type="paragraph" w:styleId="TOC8">
    <w:name w:val="toc 8"/>
    <w:basedOn w:val="Normal"/>
    <w:next w:val="Normal"/>
    <w:autoRedefine/>
    <w:rsid w:val="00AF0542"/>
    <w:pPr>
      <w:spacing w:after="100"/>
      <w:ind w:left="1400"/>
    </w:pPr>
  </w:style>
  <w:style w:type="paragraph" w:styleId="TOC9">
    <w:name w:val="toc 9"/>
    <w:basedOn w:val="Normal"/>
    <w:next w:val="Normal"/>
    <w:autoRedefine/>
    <w:rsid w:val="00AF0542"/>
    <w:pPr>
      <w:spacing w:after="100"/>
      <w:ind w:left="1600"/>
    </w:pPr>
  </w:style>
  <w:style w:type="paragraph" w:styleId="TOCHeading">
    <w:name w:val="TOC Heading"/>
    <w:basedOn w:val="Heading1"/>
    <w:next w:val="Normal"/>
    <w:uiPriority w:val="39"/>
    <w:semiHidden/>
    <w:unhideWhenUsed/>
    <w:qFormat/>
    <w:rsid w:val="008B589C"/>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AF0542"/>
    <w:pPr>
      <w:numPr>
        <w:numId w:val="24"/>
      </w:numPr>
    </w:pPr>
  </w:style>
  <w:style w:type="character" w:styleId="FootnoteReference">
    <w:name w:val="footnote reference"/>
    <w:basedOn w:val="DefaultParagraphFont"/>
    <w:semiHidden/>
    <w:unhideWhenUsed/>
    <w:rsid w:val="009102EC"/>
    <w:rPr>
      <w:vertAlign w:val="superscript"/>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1. Char"/>
    <w:link w:val="Heading1"/>
    <w:rsid w:val="00CC5897"/>
    <w:rPr>
      <w:rFonts w:ascii="Arial" w:hAnsi="Arial" w:cs="Arial"/>
      <w:b/>
      <w:bCs/>
      <w:kern w:val="32"/>
      <w:sz w:val="32"/>
      <w:szCs w:val="32"/>
    </w:rPr>
  </w:style>
  <w:style w:type="paragraph" w:styleId="Subtitle">
    <w:name w:val="Subtitle"/>
    <w:basedOn w:val="Normal"/>
    <w:next w:val="Normal"/>
    <w:link w:val="SubtitleChar"/>
    <w:uiPriority w:val="99"/>
    <w:qFormat/>
    <w:rsid w:val="00CC589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CC5897"/>
    <w:rPr>
      <w:i/>
      <w:color w:val="003760"/>
      <w:spacing w:val="15"/>
    </w:rPr>
  </w:style>
  <w:style w:type="paragraph" w:customStyle="1" w:styleId="StyleTitleGeorgiaNotBoldLeft">
    <w:name w:val="Style Title + Georgia Not Bold Left"/>
    <w:basedOn w:val="Title"/>
    <w:qFormat/>
    <w:rsid w:val="00CC589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CC589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5897"/>
    <w:rPr>
      <w:rFonts w:ascii="Calibri Light" w:hAnsi="Calibri Light"/>
      <w:b/>
      <w:bCs/>
      <w:kern w:val="28"/>
      <w:sz w:val="32"/>
      <w:szCs w:val="32"/>
    </w:rPr>
  </w:style>
  <w:style w:type="paragraph" w:customStyle="1" w:styleId="Bullet">
    <w:name w:val="Bullet"/>
    <w:basedOn w:val="ListParagraph"/>
    <w:qFormat/>
    <w:rsid w:val="00CC5897"/>
    <w:pPr>
      <w:numPr>
        <w:numId w:val="37"/>
      </w:numPr>
      <w:tabs>
        <w:tab w:val="left" w:pos="567"/>
      </w:tabs>
      <w:jc w:val="left"/>
    </w:pPr>
  </w:style>
  <w:style w:type="paragraph" w:styleId="ListParagraph">
    <w:name w:val="List Paragraph"/>
    <w:basedOn w:val="Normal"/>
    <w:uiPriority w:val="34"/>
    <w:qFormat/>
    <w:rsid w:val="00CC5897"/>
    <w:pPr>
      <w:spacing w:after="0"/>
      <w:ind w:left="720"/>
    </w:pPr>
  </w:style>
  <w:style w:type="paragraph" w:customStyle="1" w:styleId="Bullet2">
    <w:name w:val="Bullet 2"/>
    <w:basedOn w:val="Normal"/>
    <w:rsid w:val="00CC5897"/>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CE279-A895-4FB3-B844-215D93ABE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398</TotalTime>
  <Pages>2</Pages>
  <Words>2476</Words>
  <Characters>14118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DID-ENG-MGT-GEOPP</vt:lpstr>
    </vt:vector>
  </TitlesOfParts>
  <Manager/>
  <Company/>
  <LinksUpToDate>false</LinksUpToDate>
  <CharactersWithSpaces>16561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DID-ENG-MGT-GEOPP</dc:title>
  <dc:subject>Growth, Evolution and Obsolescence Program Plan</dc:subject>
  <dc:creator/>
  <cp:keywords>growth, evolution, obsolescence</cp:keywords>
  <cp:lastModifiedBy/>
  <cp:revision>41</cp:revision>
  <cp:lastPrinted>2009-10-11T23:12:00Z</cp:lastPrinted>
  <dcterms:created xsi:type="dcterms:W3CDTF">2018-02-19T04:37:00Z</dcterms:created>
  <dcterms:modified xsi:type="dcterms:W3CDTF">2026-06-17T23:47:00Z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BM90073708</vt:lpwstr>
  </property>
  <property fmtid="{D5CDD505-2E9C-101B-9397-08002B2CF9AE}" pid="4" name="Objective-Version">
    <vt:lpwstr>0.10</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DID-ENG-MGT-GEOPP</vt:lpwstr>
  </property>
  <property fmtid="{D5CDD505-2E9C-101B-9397-08002B2CF9AE}" pid="10" name="Footer_Left">
    <vt:lpwstr/>
  </property>
</Properties>
</file>